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CC0A8" w14:textId="45CFA500" w:rsidR="00764EF4" w:rsidRPr="008C1192" w:rsidRDefault="00764EF4" w:rsidP="00291249">
      <w:pPr>
        <w:jc w:val="center"/>
        <w:rPr>
          <w:rFonts w:ascii="Arial" w:hAnsi="Arial" w:cs="Arial"/>
          <w:sz w:val="20"/>
          <w:szCs w:val="20"/>
        </w:rPr>
      </w:pPr>
    </w:p>
    <w:p w14:paraId="49F9C525" w14:textId="0A393E5B" w:rsidR="00F87E00" w:rsidRPr="008C1192" w:rsidRDefault="0085440C" w:rsidP="00291249">
      <w:pPr>
        <w:jc w:val="center"/>
        <w:rPr>
          <w:rFonts w:ascii="Arial" w:hAnsi="Arial" w:cs="Arial"/>
          <w:sz w:val="20"/>
          <w:szCs w:val="20"/>
        </w:rPr>
      </w:pPr>
      <w:r w:rsidRPr="008C1192">
        <w:rPr>
          <w:rFonts w:ascii="Arial" w:hAnsi="Arial" w:cs="Arial"/>
          <w:sz w:val="20"/>
          <w:szCs w:val="20"/>
        </w:rPr>
        <w:t>March 18, 2019</w:t>
      </w:r>
    </w:p>
    <w:p w14:paraId="5119CC80" w14:textId="65C7211D" w:rsidR="0085440C" w:rsidRPr="008C1192" w:rsidRDefault="0085440C" w:rsidP="00C8031E">
      <w:pPr>
        <w:jc w:val="left"/>
        <w:rPr>
          <w:rFonts w:ascii="Arial" w:hAnsi="Arial" w:cs="Arial"/>
          <w:sz w:val="20"/>
          <w:szCs w:val="20"/>
        </w:rPr>
      </w:pPr>
    </w:p>
    <w:p w14:paraId="234E54D7" w14:textId="183243A9" w:rsidR="0085440C" w:rsidRPr="008C1192" w:rsidRDefault="0085440C" w:rsidP="00C8031E">
      <w:pPr>
        <w:jc w:val="left"/>
        <w:rPr>
          <w:rFonts w:ascii="Arial" w:hAnsi="Arial" w:cs="Arial"/>
          <w:sz w:val="20"/>
          <w:szCs w:val="20"/>
        </w:rPr>
      </w:pPr>
      <w:r w:rsidRPr="008C1192">
        <w:rPr>
          <w:rFonts w:ascii="Arial" w:hAnsi="Arial" w:cs="Arial"/>
          <w:sz w:val="20"/>
          <w:szCs w:val="20"/>
        </w:rPr>
        <w:t>Below are bills of</w:t>
      </w:r>
      <w:r w:rsidR="00291249" w:rsidRPr="008C1192">
        <w:rPr>
          <w:rFonts w:ascii="Arial" w:hAnsi="Arial" w:cs="Arial"/>
          <w:sz w:val="20"/>
          <w:szCs w:val="20"/>
        </w:rPr>
        <w:t xml:space="preserve"> potential</w:t>
      </w:r>
      <w:r w:rsidRPr="008C1192">
        <w:rPr>
          <w:rFonts w:ascii="Arial" w:hAnsi="Arial" w:cs="Arial"/>
          <w:sz w:val="20"/>
          <w:szCs w:val="20"/>
        </w:rPr>
        <w:t xml:space="preserve"> interest to the </w:t>
      </w:r>
      <w:r w:rsidR="00DE7B91" w:rsidRPr="008C1192">
        <w:rPr>
          <w:rFonts w:ascii="Arial" w:hAnsi="Arial" w:cs="Arial"/>
          <w:sz w:val="20"/>
          <w:szCs w:val="20"/>
        </w:rPr>
        <w:t>OCPDA Board</w:t>
      </w:r>
      <w:r w:rsidR="00F6427D" w:rsidRPr="008C1192">
        <w:rPr>
          <w:rFonts w:ascii="Arial" w:hAnsi="Arial" w:cs="Arial"/>
          <w:sz w:val="20"/>
          <w:szCs w:val="20"/>
        </w:rPr>
        <w:t xml:space="preserve">, with a brief status update and links to relevant information.  This list is not intended to be </w:t>
      </w:r>
      <w:r w:rsidR="009E3E51" w:rsidRPr="008C1192">
        <w:rPr>
          <w:rFonts w:ascii="Arial" w:hAnsi="Arial" w:cs="Arial"/>
          <w:sz w:val="20"/>
          <w:szCs w:val="20"/>
        </w:rPr>
        <w:t>a comprehensive summary of the legislative session</w:t>
      </w:r>
      <w:r w:rsidR="00664389" w:rsidRPr="008C1192">
        <w:rPr>
          <w:rFonts w:ascii="Arial" w:hAnsi="Arial" w:cs="Arial"/>
          <w:sz w:val="20"/>
          <w:szCs w:val="20"/>
        </w:rPr>
        <w:t>.</w:t>
      </w:r>
      <w:r w:rsidR="00DD679C" w:rsidRPr="008C1192">
        <w:rPr>
          <w:rFonts w:ascii="Arial" w:hAnsi="Arial" w:cs="Arial"/>
          <w:sz w:val="20"/>
          <w:szCs w:val="20"/>
        </w:rPr>
        <w:t xml:space="preserve">  Summaries </w:t>
      </w:r>
      <w:r w:rsidR="00710C8C" w:rsidRPr="008C1192">
        <w:rPr>
          <w:rFonts w:ascii="Arial" w:hAnsi="Arial" w:cs="Arial"/>
          <w:sz w:val="20"/>
          <w:szCs w:val="20"/>
        </w:rPr>
        <w:t>are from the legislative information system (</w:t>
      </w:r>
      <w:hyperlink r:id="rId7" w:history="1">
        <w:r w:rsidR="000D2EAD" w:rsidRPr="008C1192">
          <w:rPr>
            <w:rStyle w:val="Hyperlink"/>
            <w:rFonts w:ascii="Arial" w:hAnsi="Arial" w:cs="Arial"/>
            <w:sz w:val="20"/>
            <w:szCs w:val="20"/>
          </w:rPr>
          <w:t>https://olis.leg.state.or.us/liz/2019R1</w:t>
        </w:r>
      </w:hyperlink>
      <w:r w:rsidR="000D2EAD" w:rsidRPr="008C1192">
        <w:rPr>
          <w:rFonts w:ascii="Arial" w:hAnsi="Arial" w:cs="Arial"/>
          <w:sz w:val="20"/>
          <w:szCs w:val="20"/>
        </w:rPr>
        <w:t xml:space="preserve">). </w:t>
      </w:r>
    </w:p>
    <w:p w14:paraId="5E4631A4" w14:textId="45EB3DA4" w:rsidR="00664389" w:rsidRPr="008C1192" w:rsidRDefault="00664389" w:rsidP="00C8031E">
      <w:pPr>
        <w:jc w:val="left"/>
        <w:rPr>
          <w:rFonts w:ascii="Arial" w:hAnsi="Arial" w:cs="Arial"/>
          <w:sz w:val="20"/>
          <w:szCs w:val="20"/>
        </w:rPr>
      </w:pPr>
    </w:p>
    <w:p w14:paraId="6CA886FB" w14:textId="54AECA10" w:rsidR="00664389" w:rsidRPr="008C1192" w:rsidRDefault="004D0738" w:rsidP="00C8031E">
      <w:pPr>
        <w:jc w:val="left"/>
        <w:rPr>
          <w:rFonts w:ascii="Arial" w:hAnsi="Arial" w:cs="Arial"/>
          <w:sz w:val="20"/>
          <w:szCs w:val="20"/>
        </w:rPr>
      </w:pPr>
      <w:hyperlink r:id="rId8" w:history="1">
        <w:r w:rsidR="00664389" w:rsidRPr="008C1192">
          <w:rPr>
            <w:rStyle w:val="Hyperlink"/>
            <w:rFonts w:ascii="Arial" w:hAnsi="Arial" w:cs="Arial"/>
            <w:sz w:val="20"/>
            <w:szCs w:val="20"/>
          </w:rPr>
          <w:t>HB 2001</w:t>
        </w:r>
      </w:hyperlink>
    </w:p>
    <w:p w14:paraId="728D8825" w14:textId="655E92A0" w:rsidR="004D0738" w:rsidRPr="008C1192" w:rsidRDefault="004D0738" w:rsidP="00C8031E">
      <w:pPr>
        <w:spacing w:line="240" w:lineRule="auto"/>
        <w:jc w:val="left"/>
        <w:rPr>
          <w:rFonts w:ascii="Arial" w:eastAsia="Palatino Linotype" w:hAnsi="Arial" w:cs="Arial"/>
          <w:color w:val="000000"/>
          <w:sz w:val="20"/>
          <w:szCs w:val="20"/>
        </w:rPr>
      </w:pPr>
      <w:r w:rsidRPr="008C1192">
        <w:rPr>
          <w:rFonts w:ascii="Arial" w:eastAsia="Palatino Linotype" w:hAnsi="Arial" w:cs="Arial"/>
          <w:color w:val="000000"/>
          <w:sz w:val="20"/>
          <w:szCs w:val="20"/>
        </w:rPr>
        <w:t>Summary</w:t>
      </w:r>
    </w:p>
    <w:p w14:paraId="227BB3FD" w14:textId="782BF411" w:rsidR="00810A66" w:rsidRPr="008C1192" w:rsidRDefault="00810A66" w:rsidP="00C8031E">
      <w:pPr>
        <w:spacing w:line="240" w:lineRule="auto"/>
        <w:jc w:val="left"/>
        <w:rPr>
          <w:rFonts w:ascii="Arial" w:eastAsia="Palatino Linotype" w:hAnsi="Arial" w:cs="Arial"/>
          <w:color w:val="000000"/>
          <w:sz w:val="20"/>
          <w:szCs w:val="20"/>
        </w:rPr>
      </w:pPr>
      <w:r w:rsidRPr="008C1192">
        <w:rPr>
          <w:rFonts w:ascii="Arial" w:eastAsia="Palatino Linotype" w:hAnsi="Arial" w:cs="Arial"/>
          <w:color w:val="000000"/>
          <w:sz w:val="20"/>
          <w:szCs w:val="20"/>
        </w:rPr>
        <w:t>Requires cities with population greater than 10,000 and counties with population greater than 15,000 to allow middle housing in lands zoned for single-family dwellings within urban growth boundary. Requires Land Conservation and Development Commission to draft model code. Requires cities and counties to amend their comprehensive plan and land use regulations to conform with requirement by December 31, 2020, or to directly apply model code developed by commission. Requires Department of Consumer and Business Services to amend Low-Rise Residential Dwelling Code to apply to low-rise middle housing and to amend State of Oregon Structural Specialty Code to not apply to low-rise middle housing. Allows attorney fees, beginning January 1, 2021, for prevailing applicant whose proposal to develop middle housing is denied. Prohibits conditioning approval of accessory dwelling unit within urban growth boundary on off-street parking availability or owner occupancy. Prohibits local governments from requiring system development charges to be paid by developer of middle housing before occupancy permit is issued. Declares emergency, effective on passage.</w:t>
      </w:r>
    </w:p>
    <w:p w14:paraId="493F1840" w14:textId="56717E18" w:rsidR="004D0738" w:rsidRPr="008C1192" w:rsidRDefault="004D0738" w:rsidP="00C8031E">
      <w:pPr>
        <w:spacing w:line="240" w:lineRule="auto"/>
        <w:jc w:val="left"/>
        <w:rPr>
          <w:rFonts w:ascii="Arial" w:hAnsi="Arial" w:cs="Arial"/>
          <w:sz w:val="20"/>
          <w:szCs w:val="20"/>
        </w:rPr>
      </w:pPr>
    </w:p>
    <w:p w14:paraId="5AFF4046" w14:textId="44261F9E" w:rsidR="004D0738" w:rsidRPr="008C1192" w:rsidRDefault="004D0738" w:rsidP="00C8031E">
      <w:pPr>
        <w:spacing w:line="240" w:lineRule="auto"/>
        <w:jc w:val="left"/>
        <w:rPr>
          <w:rFonts w:ascii="Arial" w:hAnsi="Arial" w:cs="Arial"/>
          <w:sz w:val="20"/>
          <w:szCs w:val="20"/>
        </w:rPr>
      </w:pPr>
      <w:r w:rsidRPr="008C1192">
        <w:rPr>
          <w:rFonts w:ascii="Arial" w:hAnsi="Arial" w:cs="Arial"/>
          <w:sz w:val="20"/>
          <w:szCs w:val="20"/>
        </w:rPr>
        <w:t>Status</w:t>
      </w:r>
    </w:p>
    <w:p w14:paraId="0597C9DE" w14:textId="468AB2FD" w:rsidR="004D0738" w:rsidRPr="008C1192" w:rsidRDefault="004D0738" w:rsidP="00C8031E">
      <w:pPr>
        <w:spacing w:line="240" w:lineRule="auto"/>
        <w:jc w:val="left"/>
        <w:rPr>
          <w:rFonts w:ascii="Arial" w:hAnsi="Arial" w:cs="Arial"/>
          <w:sz w:val="20"/>
          <w:szCs w:val="20"/>
        </w:rPr>
      </w:pPr>
      <w:r w:rsidRPr="008C1192">
        <w:rPr>
          <w:rFonts w:ascii="Arial" w:hAnsi="Arial" w:cs="Arial"/>
          <w:sz w:val="20"/>
          <w:szCs w:val="20"/>
        </w:rPr>
        <w:t xml:space="preserve">An amendment was presented on March 18 (available </w:t>
      </w:r>
      <w:hyperlink r:id="rId9" w:history="1">
        <w:r w:rsidRPr="008C1192">
          <w:rPr>
            <w:rStyle w:val="Hyperlink"/>
            <w:rFonts w:ascii="Arial" w:hAnsi="Arial" w:cs="Arial"/>
            <w:sz w:val="20"/>
            <w:szCs w:val="20"/>
          </w:rPr>
          <w:t>here</w:t>
        </w:r>
      </w:hyperlink>
      <w:r w:rsidRPr="008C1192">
        <w:rPr>
          <w:rFonts w:ascii="Arial" w:hAnsi="Arial" w:cs="Arial"/>
          <w:sz w:val="20"/>
          <w:szCs w:val="20"/>
        </w:rPr>
        <w:t>) at a second public hearing</w:t>
      </w:r>
      <w:r w:rsidR="00097FAA" w:rsidRPr="008C1192">
        <w:rPr>
          <w:rFonts w:ascii="Arial" w:hAnsi="Arial" w:cs="Arial"/>
          <w:sz w:val="20"/>
          <w:szCs w:val="20"/>
        </w:rPr>
        <w:t>.  Further updates are likely.</w:t>
      </w:r>
    </w:p>
    <w:p w14:paraId="093DF33E" w14:textId="28A934BE" w:rsidR="00664389" w:rsidRPr="008C1192" w:rsidRDefault="00664389" w:rsidP="00C8031E">
      <w:pPr>
        <w:jc w:val="left"/>
        <w:rPr>
          <w:rFonts w:ascii="Arial" w:hAnsi="Arial" w:cs="Arial"/>
          <w:sz w:val="20"/>
          <w:szCs w:val="20"/>
        </w:rPr>
      </w:pPr>
    </w:p>
    <w:p w14:paraId="7E591EBB" w14:textId="3CCD2696" w:rsidR="00664389" w:rsidRPr="008C1192" w:rsidRDefault="00E32F99" w:rsidP="00C8031E">
      <w:pPr>
        <w:jc w:val="left"/>
        <w:rPr>
          <w:rFonts w:ascii="Arial" w:hAnsi="Arial" w:cs="Arial"/>
          <w:sz w:val="20"/>
          <w:szCs w:val="20"/>
        </w:rPr>
      </w:pPr>
      <w:hyperlink r:id="rId10" w:history="1">
        <w:r w:rsidR="00664389" w:rsidRPr="008C1192">
          <w:rPr>
            <w:rStyle w:val="Hyperlink"/>
            <w:rFonts w:ascii="Arial" w:hAnsi="Arial" w:cs="Arial"/>
            <w:sz w:val="20"/>
            <w:szCs w:val="20"/>
          </w:rPr>
          <w:t>HB 2003</w:t>
        </w:r>
      </w:hyperlink>
    </w:p>
    <w:p w14:paraId="254E14EC" w14:textId="0BEB92C2" w:rsidR="00E32F99" w:rsidRPr="008C1192" w:rsidRDefault="00E32F99" w:rsidP="00C8031E">
      <w:pPr>
        <w:jc w:val="left"/>
        <w:rPr>
          <w:rFonts w:ascii="Arial" w:hAnsi="Arial" w:cs="Arial"/>
          <w:sz w:val="20"/>
          <w:szCs w:val="20"/>
        </w:rPr>
      </w:pPr>
      <w:r w:rsidRPr="008C1192">
        <w:rPr>
          <w:rFonts w:ascii="Arial" w:hAnsi="Arial" w:cs="Arial"/>
          <w:sz w:val="20"/>
          <w:szCs w:val="20"/>
        </w:rPr>
        <w:t>Summary</w:t>
      </w:r>
    </w:p>
    <w:p w14:paraId="6769D9C4" w14:textId="7517A67E" w:rsidR="00E32F99" w:rsidRPr="008C1192" w:rsidRDefault="00922EB8" w:rsidP="00C8031E">
      <w:pPr>
        <w:jc w:val="left"/>
        <w:rPr>
          <w:rFonts w:ascii="Arial" w:eastAsia="Palatino Linotype" w:hAnsi="Arial" w:cs="Arial"/>
          <w:color w:val="000000"/>
          <w:sz w:val="20"/>
          <w:szCs w:val="20"/>
        </w:rPr>
      </w:pPr>
      <w:r w:rsidRPr="008C1192">
        <w:rPr>
          <w:rFonts w:ascii="Arial" w:eastAsia="Palatino Linotype" w:hAnsi="Arial" w:cs="Arial"/>
          <w:color w:val="000000"/>
          <w:sz w:val="20"/>
          <w:szCs w:val="20"/>
        </w:rPr>
        <w:t>Requires Oregon Department of Administrative Services to develop methodology to conduct regional housing needs analysis and, for certain cities and Metro, to inventory existing housing stock and to establish housing shortage analysis. Requires department to implement analyses and inventory every four years. Requires department to report findings to interim committees of Legislative Assembly no later than January 1, 2021. Requires Metro, and each city with population greater than 10,000 or within Metro, to develop estimate of its housing need no less than once every eight years and, within 12 months of determining estimated housing need, to adopt housing strategy to meet estimated housing need. Requires Land Conservation and Development Commission to annually identify 10 priority cities that experience difficulties implementing housing strategy. Appropriates moneys from General Fund to Department of Land Conservation</w:t>
      </w:r>
      <w:r w:rsidR="00AD7C1D" w:rsidRPr="008C1192">
        <w:rPr>
          <w:rFonts w:ascii="Arial" w:eastAsia="Palatino Linotype" w:hAnsi="Arial" w:cs="Arial"/>
          <w:color w:val="000000"/>
          <w:sz w:val="20"/>
          <w:szCs w:val="20"/>
        </w:rPr>
        <w:t xml:space="preserve"> </w:t>
      </w:r>
      <w:r w:rsidR="00AD7C1D" w:rsidRPr="008C1192">
        <w:rPr>
          <w:rFonts w:ascii="Arial" w:eastAsia="Palatino Linotype" w:hAnsi="Arial" w:cs="Arial"/>
          <w:color w:val="000000"/>
          <w:sz w:val="20"/>
          <w:szCs w:val="20"/>
        </w:rPr>
        <w:t xml:space="preserve">and Development to assist 10 priority cities with implementation of housing strategy. Allows development or rezoning of public property in urban growth boundary for affordable housing if compatible with surrounding zoning. Authorizes Secretary of State to audit system development charges and bring enforcement action to correct violations. Requires Building Codes Division of Department of Consumer and Business Services to maintain list of local governments' system development charges and proposed modifications. Requires local governments to deliver copies of records to division. Appropriates moneys from General Fund to department for maintaining records, making records publicly available and reimbursing local governments for costs of compliance. Awards attorney fees to prevailing intervening developers of affordable housing in Land Use Board of Appeals </w:t>
      </w:r>
      <w:r w:rsidR="00AD7C1D" w:rsidRPr="008C1192">
        <w:rPr>
          <w:rFonts w:ascii="Arial" w:eastAsia="Palatino Linotype" w:hAnsi="Arial" w:cs="Arial"/>
          <w:color w:val="000000"/>
          <w:sz w:val="20"/>
          <w:szCs w:val="20"/>
        </w:rPr>
        <w:lastRenderedPageBreak/>
        <w:t>decisions. Assigns local government burden of proving on appeal necessity of reduction in density or height in housing development application. Allows nonresidential places of worship to develop multiple affordable dwellings on land where nonresidential place of worship is allowed use. Becomes operative on January 1, 2020. Takes effect on 91st day following adjournment sine die.</w:t>
      </w:r>
    </w:p>
    <w:p w14:paraId="275B2257" w14:textId="6E41331A" w:rsidR="00AD7C1D" w:rsidRPr="008C1192" w:rsidRDefault="00AD7C1D" w:rsidP="00C8031E">
      <w:pPr>
        <w:jc w:val="left"/>
        <w:rPr>
          <w:rFonts w:ascii="Arial" w:hAnsi="Arial" w:cs="Arial"/>
          <w:sz w:val="20"/>
          <w:szCs w:val="20"/>
        </w:rPr>
      </w:pPr>
    </w:p>
    <w:p w14:paraId="565261EF" w14:textId="5978B905" w:rsidR="00AD7C1D" w:rsidRPr="008C1192" w:rsidRDefault="00AD7C1D" w:rsidP="00C8031E">
      <w:pPr>
        <w:jc w:val="left"/>
        <w:rPr>
          <w:rFonts w:ascii="Arial" w:hAnsi="Arial" w:cs="Arial"/>
          <w:sz w:val="20"/>
          <w:szCs w:val="20"/>
        </w:rPr>
      </w:pPr>
      <w:r w:rsidRPr="008C1192">
        <w:rPr>
          <w:rFonts w:ascii="Arial" w:hAnsi="Arial" w:cs="Arial"/>
          <w:sz w:val="20"/>
          <w:szCs w:val="20"/>
        </w:rPr>
        <w:t>Status</w:t>
      </w:r>
    </w:p>
    <w:p w14:paraId="075ECBBD" w14:textId="4341B72C" w:rsidR="00AD7C1D" w:rsidRPr="008C1192" w:rsidRDefault="00AD7C1D" w:rsidP="00C8031E">
      <w:pPr>
        <w:jc w:val="left"/>
        <w:rPr>
          <w:rFonts w:ascii="Arial" w:hAnsi="Arial" w:cs="Arial"/>
          <w:sz w:val="20"/>
          <w:szCs w:val="20"/>
        </w:rPr>
      </w:pPr>
      <w:r w:rsidRPr="008C1192">
        <w:rPr>
          <w:rFonts w:ascii="Arial" w:hAnsi="Arial" w:cs="Arial"/>
          <w:sz w:val="20"/>
          <w:szCs w:val="20"/>
        </w:rPr>
        <w:t>A first public hearing was held on March 5 and a second has been scheduled for March 21.  It is likely that an amendment will be presented for the March 21 meeting, but it is not available at this time.</w:t>
      </w:r>
    </w:p>
    <w:p w14:paraId="0B7682B0" w14:textId="5C8061CB" w:rsidR="00664389" w:rsidRPr="008C1192" w:rsidRDefault="00664389" w:rsidP="00C8031E">
      <w:pPr>
        <w:jc w:val="left"/>
        <w:rPr>
          <w:rFonts w:ascii="Arial" w:hAnsi="Arial" w:cs="Arial"/>
          <w:sz w:val="20"/>
          <w:szCs w:val="20"/>
        </w:rPr>
      </w:pPr>
    </w:p>
    <w:p w14:paraId="44348A01" w14:textId="09F6EFAA" w:rsidR="00664389" w:rsidRPr="008C1192" w:rsidRDefault="00ED28FE" w:rsidP="00C8031E">
      <w:pPr>
        <w:jc w:val="left"/>
        <w:rPr>
          <w:rFonts w:ascii="Arial" w:hAnsi="Arial" w:cs="Arial"/>
          <w:sz w:val="20"/>
          <w:szCs w:val="20"/>
        </w:rPr>
      </w:pPr>
      <w:hyperlink r:id="rId11" w:history="1">
        <w:r w:rsidR="007C6033" w:rsidRPr="008C1192">
          <w:rPr>
            <w:rStyle w:val="Hyperlink"/>
            <w:rFonts w:ascii="Arial" w:hAnsi="Arial" w:cs="Arial"/>
            <w:sz w:val="20"/>
            <w:szCs w:val="20"/>
          </w:rPr>
          <w:t>HB 2055</w:t>
        </w:r>
      </w:hyperlink>
    </w:p>
    <w:p w14:paraId="05FA1F17" w14:textId="2863B357" w:rsidR="00385E31" w:rsidRPr="008C1192" w:rsidRDefault="00ED28FE" w:rsidP="00C8031E">
      <w:pPr>
        <w:jc w:val="left"/>
        <w:rPr>
          <w:rFonts w:ascii="Arial" w:hAnsi="Arial" w:cs="Arial"/>
          <w:sz w:val="20"/>
          <w:szCs w:val="20"/>
        </w:rPr>
      </w:pPr>
      <w:r w:rsidRPr="008C1192">
        <w:rPr>
          <w:rFonts w:ascii="Arial" w:hAnsi="Arial" w:cs="Arial"/>
          <w:sz w:val="20"/>
          <w:szCs w:val="20"/>
        </w:rPr>
        <w:t>Summary</w:t>
      </w:r>
    </w:p>
    <w:p w14:paraId="13E3C775" w14:textId="281371E3" w:rsidR="00ED28FE" w:rsidRPr="008C1192" w:rsidRDefault="00FC7300" w:rsidP="00C8031E">
      <w:pPr>
        <w:jc w:val="left"/>
        <w:rPr>
          <w:rFonts w:ascii="Arial" w:hAnsi="Arial" w:cs="Arial"/>
          <w:sz w:val="20"/>
          <w:szCs w:val="20"/>
        </w:rPr>
      </w:pPr>
      <w:r w:rsidRPr="008C1192">
        <w:rPr>
          <w:rFonts w:ascii="Arial" w:eastAsia="Palatino Linotype" w:hAnsi="Arial" w:cs="Arial"/>
          <w:color w:val="000000"/>
          <w:sz w:val="20"/>
          <w:szCs w:val="20"/>
        </w:rPr>
        <w:t>Establishes Workforce Housing Accelerator Program within Housing and Community Services Department. Requires program to assist local government efforts to increase workforce housing through technical assistance and direct funding. Establishes Greater Oregon Housing Account within Oregon Housing Fund to fund program.</w:t>
      </w:r>
    </w:p>
    <w:p w14:paraId="691D7383" w14:textId="77777777" w:rsidR="00ED28FE" w:rsidRPr="008C1192" w:rsidRDefault="00ED28FE" w:rsidP="00C8031E">
      <w:pPr>
        <w:jc w:val="left"/>
        <w:rPr>
          <w:rFonts w:ascii="Arial" w:hAnsi="Arial" w:cs="Arial"/>
          <w:sz w:val="20"/>
          <w:szCs w:val="20"/>
        </w:rPr>
      </w:pPr>
    </w:p>
    <w:p w14:paraId="3091B273" w14:textId="143CEC49" w:rsidR="00ED28FE" w:rsidRPr="008C1192" w:rsidRDefault="00ED28FE" w:rsidP="00C8031E">
      <w:pPr>
        <w:jc w:val="left"/>
        <w:rPr>
          <w:rFonts w:ascii="Arial" w:hAnsi="Arial" w:cs="Arial"/>
          <w:sz w:val="20"/>
          <w:szCs w:val="20"/>
        </w:rPr>
      </w:pPr>
      <w:r w:rsidRPr="008C1192">
        <w:rPr>
          <w:rFonts w:ascii="Arial" w:hAnsi="Arial" w:cs="Arial"/>
          <w:sz w:val="20"/>
          <w:szCs w:val="20"/>
        </w:rPr>
        <w:t>Status</w:t>
      </w:r>
    </w:p>
    <w:p w14:paraId="69F1053F" w14:textId="4D29AB7B" w:rsidR="00ED28FE" w:rsidRPr="008C1192" w:rsidRDefault="00FC7300" w:rsidP="00C8031E">
      <w:pPr>
        <w:jc w:val="left"/>
        <w:rPr>
          <w:rFonts w:ascii="Arial" w:hAnsi="Arial" w:cs="Arial"/>
          <w:sz w:val="20"/>
          <w:szCs w:val="20"/>
        </w:rPr>
      </w:pPr>
      <w:r w:rsidRPr="008C1192">
        <w:rPr>
          <w:rFonts w:ascii="Arial" w:hAnsi="Arial" w:cs="Arial"/>
          <w:sz w:val="20"/>
          <w:szCs w:val="20"/>
        </w:rPr>
        <w:t>The bill passed out of the House Human Services and Housing Committee on March 18.  It moves to the Ways &amp; Means Committee next.</w:t>
      </w:r>
    </w:p>
    <w:p w14:paraId="52A46BB8" w14:textId="08C54A1D" w:rsidR="00FC7300" w:rsidRPr="008C1192" w:rsidRDefault="00FC7300" w:rsidP="00C8031E">
      <w:pPr>
        <w:jc w:val="left"/>
        <w:rPr>
          <w:rFonts w:ascii="Arial" w:hAnsi="Arial" w:cs="Arial"/>
          <w:sz w:val="20"/>
          <w:szCs w:val="20"/>
        </w:rPr>
      </w:pPr>
    </w:p>
    <w:p w14:paraId="5151BF1A" w14:textId="75A879B1" w:rsidR="00385E31" w:rsidRPr="008C1192" w:rsidRDefault="000367C6" w:rsidP="00C8031E">
      <w:pPr>
        <w:jc w:val="left"/>
        <w:rPr>
          <w:rFonts w:ascii="Arial" w:hAnsi="Arial" w:cs="Arial"/>
          <w:sz w:val="20"/>
          <w:szCs w:val="20"/>
        </w:rPr>
      </w:pPr>
      <w:hyperlink r:id="rId12" w:history="1">
        <w:r w:rsidR="00C05C6A" w:rsidRPr="008C1192">
          <w:rPr>
            <w:rStyle w:val="Hyperlink"/>
            <w:rFonts w:ascii="Arial" w:hAnsi="Arial" w:cs="Arial"/>
            <w:sz w:val="20"/>
            <w:szCs w:val="20"/>
          </w:rPr>
          <w:t>HB 2075</w:t>
        </w:r>
      </w:hyperlink>
    </w:p>
    <w:p w14:paraId="3122B3E6" w14:textId="03F6B8FC" w:rsidR="00C05C6A" w:rsidRPr="008C1192" w:rsidRDefault="008E1CCE" w:rsidP="00C8031E">
      <w:pPr>
        <w:jc w:val="left"/>
        <w:rPr>
          <w:rFonts w:ascii="Arial" w:hAnsi="Arial" w:cs="Arial"/>
          <w:sz w:val="20"/>
          <w:szCs w:val="20"/>
        </w:rPr>
      </w:pPr>
      <w:r w:rsidRPr="008C1192">
        <w:rPr>
          <w:rFonts w:ascii="Arial" w:hAnsi="Arial" w:cs="Arial"/>
          <w:sz w:val="20"/>
          <w:szCs w:val="20"/>
        </w:rPr>
        <w:t>Summary</w:t>
      </w:r>
    </w:p>
    <w:p w14:paraId="2B235D43" w14:textId="31A19DD0" w:rsidR="008E1CCE" w:rsidRPr="008C1192" w:rsidRDefault="008E1CCE" w:rsidP="00C8031E">
      <w:pPr>
        <w:jc w:val="left"/>
        <w:rPr>
          <w:rFonts w:ascii="Arial" w:eastAsia="Palatino Linotype" w:hAnsi="Arial" w:cs="Arial"/>
          <w:color w:val="000000"/>
          <w:sz w:val="20"/>
          <w:szCs w:val="20"/>
        </w:rPr>
      </w:pPr>
      <w:r w:rsidRPr="008C1192">
        <w:rPr>
          <w:rFonts w:ascii="Arial" w:eastAsia="Palatino Linotype" w:hAnsi="Arial" w:cs="Arial"/>
          <w:color w:val="000000"/>
          <w:sz w:val="20"/>
          <w:szCs w:val="20"/>
        </w:rPr>
        <w:t>Establishes Development Readiness Program within Department of Land Conservation and Development to assist local governments with land use goals relating to housing and economic development. Establishes Development Readiness Fund to fund program. Declares emergency, effective on passage.</w:t>
      </w:r>
    </w:p>
    <w:p w14:paraId="202FFD3F" w14:textId="6C1314B4" w:rsidR="008E1CCE" w:rsidRPr="008C1192" w:rsidRDefault="008E1CCE" w:rsidP="00C8031E">
      <w:pPr>
        <w:jc w:val="left"/>
        <w:rPr>
          <w:rFonts w:ascii="Arial" w:hAnsi="Arial" w:cs="Arial"/>
          <w:sz w:val="20"/>
          <w:szCs w:val="20"/>
        </w:rPr>
      </w:pPr>
    </w:p>
    <w:p w14:paraId="330E2DC9" w14:textId="2F636960" w:rsidR="008E1CCE" w:rsidRPr="008C1192" w:rsidRDefault="008E1CCE" w:rsidP="00C8031E">
      <w:pPr>
        <w:jc w:val="left"/>
        <w:rPr>
          <w:rFonts w:ascii="Arial" w:hAnsi="Arial" w:cs="Arial"/>
          <w:sz w:val="20"/>
          <w:szCs w:val="20"/>
        </w:rPr>
      </w:pPr>
      <w:r w:rsidRPr="008C1192">
        <w:rPr>
          <w:rFonts w:ascii="Arial" w:hAnsi="Arial" w:cs="Arial"/>
          <w:sz w:val="20"/>
          <w:szCs w:val="20"/>
        </w:rPr>
        <w:t>Status</w:t>
      </w:r>
    </w:p>
    <w:p w14:paraId="53771749" w14:textId="7CA427F7" w:rsidR="008E1CCE" w:rsidRPr="008C1192" w:rsidRDefault="008E1CCE" w:rsidP="00C8031E">
      <w:pPr>
        <w:jc w:val="left"/>
        <w:rPr>
          <w:rFonts w:ascii="Arial" w:hAnsi="Arial" w:cs="Arial"/>
          <w:sz w:val="20"/>
          <w:szCs w:val="20"/>
        </w:rPr>
      </w:pPr>
      <w:r w:rsidRPr="008C1192">
        <w:rPr>
          <w:rFonts w:ascii="Arial" w:hAnsi="Arial" w:cs="Arial"/>
          <w:sz w:val="20"/>
          <w:szCs w:val="20"/>
        </w:rPr>
        <w:t>A public hearing was held in the Housing Agriculture and Land Use Committee on January 29</w:t>
      </w:r>
      <w:r w:rsidR="001C4250" w:rsidRPr="008C1192">
        <w:rPr>
          <w:rFonts w:ascii="Arial" w:hAnsi="Arial" w:cs="Arial"/>
          <w:sz w:val="20"/>
          <w:szCs w:val="20"/>
        </w:rPr>
        <w:t>.</w:t>
      </w:r>
    </w:p>
    <w:p w14:paraId="409E262B" w14:textId="77777777" w:rsidR="001C4250" w:rsidRPr="008C1192" w:rsidRDefault="001C4250" w:rsidP="00C8031E">
      <w:pPr>
        <w:jc w:val="left"/>
        <w:rPr>
          <w:rFonts w:ascii="Arial" w:hAnsi="Arial" w:cs="Arial"/>
          <w:sz w:val="20"/>
          <w:szCs w:val="20"/>
        </w:rPr>
      </w:pPr>
    </w:p>
    <w:p w14:paraId="3E25A9FB" w14:textId="0CD62009" w:rsidR="00C05C6A" w:rsidRPr="008C1192" w:rsidRDefault="00333318" w:rsidP="00C8031E">
      <w:pPr>
        <w:jc w:val="left"/>
        <w:rPr>
          <w:rFonts w:ascii="Arial" w:hAnsi="Arial" w:cs="Arial"/>
          <w:sz w:val="20"/>
          <w:szCs w:val="20"/>
        </w:rPr>
      </w:pPr>
      <w:hyperlink r:id="rId13" w:history="1">
        <w:r w:rsidR="00F26909" w:rsidRPr="008C1192">
          <w:rPr>
            <w:rStyle w:val="Hyperlink"/>
            <w:rFonts w:ascii="Arial" w:hAnsi="Arial" w:cs="Arial"/>
            <w:sz w:val="20"/>
            <w:szCs w:val="20"/>
          </w:rPr>
          <w:t>HB 2108</w:t>
        </w:r>
      </w:hyperlink>
    </w:p>
    <w:p w14:paraId="0D97B5BD" w14:textId="14DA11CF" w:rsidR="00333318" w:rsidRPr="008C1192" w:rsidRDefault="00333318" w:rsidP="00C8031E">
      <w:pPr>
        <w:jc w:val="left"/>
        <w:rPr>
          <w:rFonts w:ascii="Arial" w:hAnsi="Arial" w:cs="Arial"/>
          <w:sz w:val="20"/>
          <w:szCs w:val="20"/>
        </w:rPr>
      </w:pPr>
      <w:r w:rsidRPr="008C1192">
        <w:rPr>
          <w:rFonts w:ascii="Arial" w:hAnsi="Arial" w:cs="Arial"/>
          <w:sz w:val="20"/>
          <w:szCs w:val="20"/>
        </w:rPr>
        <w:t>Summary</w:t>
      </w:r>
    </w:p>
    <w:p w14:paraId="0CE9F50A" w14:textId="3380664B" w:rsidR="002A2E51" w:rsidRPr="008C1192" w:rsidRDefault="002A2E51" w:rsidP="00C8031E">
      <w:pPr>
        <w:jc w:val="left"/>
        <w:rPr>
          <w:rFonts w:ascii="Arial" w:eastAsia="Palatino Linotype" w:hAnsi="Arial" w:cs="Arial"/>
          <w:color w:val="000000"/>
          <w:sz w:val="20"/>
          <w:szCs w:val="20"/>
        </w:rPr>
      </w:pPr>
      <w:r w:rsidRPr="008C1192">
        <w:rPr>
          <w:rFonts w:ascii="Arial" w:eastAsia="Palatino Linotype" w:hAnsi="Arial" w:cs="Arial"/>
          <w:color w:val="000000"/>
          <w:sz w:val="20"/>
          <w:szCs w:val="20"/>
        </w:rPr>
        <w:t>Authorizes district or city to require consent to eventual annexation of property before providing extraterritorial service to property. Creates exception if extraterritorial service is provided pursuant to certain intergovernmental agreements, if consent is not requirement of intergovernmental agreement or of comprehensive plan adopted for area in which property is situated and if extraterritorial service is service other than water service, sewer service, storm water service, constructing first paved access to property or service provided by municipal electric utility. Declares emergency, effective on passage.</w:t>
      </w:r>
    </w:p>
    <w:p w14:paraId="5FE1198B" w14:textId="37C5E5CE" w:rsidR="002A2E51" w:rsidRPr="008C1192" w:rsidRDefault="002A2E51" w:rsidP="00C8031E">
      <w:pPr>
        <w:jc w:val="left"/>
        <w:rPr>
          <w:rFonts w:ascii="Arial" w:hAnsi="Arial" w:cs="Arial"/>
          <w:sz w:val="20"/>
          <w:szCs w:val="20"/>
        </w:rPr>
      </w:pPr>
    </w:p>
    <w:p w14:paraId="3E0DE0D5" w14:textId="0786E60E" w:rsidR="002A2E51" w:rsidRPr="008C1192" w:rsidRDefault="002A2E51" w:rsidP="00C8031E">
      <w:pPr>
        <w:jc w:val="left"/>
        <w:rPr>
          <w:rFonts w:ascii="Arial" w:hAnsi="Arial" w:cs="Arial"/>
          <w:sz w:val="20"/>
          <w:szCs w:val="20"/>
        </w:rPr>
      </w:pPr>
      <w:r w:rsidRPr="008C1192">
        <w:rPr>
          <w:rFonts w:ascii="Arial" w:hAnsi="Arial" w:cs="Arial"/>
          <w:sz w:val="20"/>
          <w:szCs w:val="20"/>
        </w:rPr>
        <w:t>Status</w:t>
      </w:r>
    </w:p>
    <w:p w14:paraId="0F7EBE87" w14:textId="250836D7" w:rsidR="00F26909" w:rsidRPr="008C1192" w:rsidRDefault="00B478D8" w:rsidP="00C8031E">
      <w:pPr>
        <w:jc w:val="left"/>
        <w:rPr>
          <w:rFonts w:ascii="Arial" w:hAnsi="Arial" w:cs="Arial"/>
          <w:sz w:val="20"/>
          <w:szCs w:val="20"/>
        </w:rPr>
      </w:pPr>
      <w:r w:rsidRPr="008C1192">
        <w:rPr>
          <w:rFonts w:ascii="Arial" w:hAnsi="Arial" w:cs="Arial"/>
          <w:sz w:val="20"/>
          <w:szCs w:val="20"/>
        </w:rPr>
        <w:t>A public hearing was held in the House Agriculture and Land Use committee on February 5.</w:t>
      </w:r>
    </w:p>
    <w:p w14:paraId="73BCD5D9" w14:textId="77777777" w:rsidR="00B478D8" w:rsidRPr="008C1192" w:rsidRDefault="00B478D8" w:rsidP="00C8031E">
      <w:pPr>
        <w:jc w:val="left"/>
        <w:rPr>
          <w:rFonts w:ascii="Arial" w:hAnsi="Arial" w:cs="Arial"/>
          <w:sz w:val="20"/>
          <w:szCs w:val="20"/>
        </w:rPr>
      </w:pPr>
    </w:p>
    <w:p w14:paraId="7F5CC7C2" w14:textId="77777777" w:rsidR="008C1192" w:rsidRDefault="008C1192">
      <w:pPr>
        <w:spacing w:after="200"/>
        <w:jc w:val="left"/>
        <w:rPr>
          <w:rFonts w:ascii="Arial" w:hAnsi="Arial" w:cs="Arial"/>
          <w:sz w:val="20"/>
          <w:szCs w:val="20"/>
        </w:rPr>
      </w:pPr>
      <w:r>
        <w:rPr>
          <w:rFonts w:ascii="Arial" w:hAnsi="Arial" w:cs="Arial"/>
          <w:sz w:val="20"/>
          <w:szCs w:val="20"/>
        </w:rPr>
        <w:br w:type="page"/>
      </w:r>
    </w:p>
    <w:p w14:paraId="5B4DC04B" w14:textId="5C8542B3" w:rsidR="00F26909" w:rsidRPr="008C1192" w:rsidRDefault="000B2748" w:rsidP="00C8031E">
      <w:pPr>
        <w:jc w:val="left"/>
        <w:rPr>
          <w:rFonts w:ascii="Arial" w:hAnsi="Arial" w:cs="Arial"/>
          <w:sz w:val="20"/>
          <w:szCs w:val="20"/>
        </w:rPr>
      </w:pPr>
      <w:hyperlink r:id="rId14" w:history="1">
        <w:r w:rsidR="00F26909" w:rsidRPr="008C1192">
          <w:rPr>
            <w:rStyle w:val="Hyperlink"/>
            <w:rFonts w:ascii="Arial" w:hAnsi="Arial" w:cs="Arial"/>
            <w:sz w:val="20"/>
            <w:szCs w:val="20"/>
          </w:rPr>
          <w:t>HB 2109</w:t>
        </w:r>
      </w:hyperlink>
    </w:p>
    <w:p w14:paraId="47B9CC83" w14:textId="4E374117" w:rsidR="00F26909" w:rsidRPr="008C1192" w:rsidRDefault="001B2F84" w:rsidP="00C8031E">
      <w:pPr>
        <w:jc w:val="left"/>
        <w:rPr>
          <w:rFonts w:ascii="Arial" w:hAnsi="Arial" w:cs="Arial"/>
          <w:sz w:val="20"/>
          <w:szCs w:val="20"/>
        </w:rPr>
      </w:pPr>
      <w:r w:rsidRPr="008C1192">
        <w:rPr>
          <w:rFonts w:ascii="Arial" w:hAnsi="Arial" w:cs="Arial"/>
          <w:sz w:val="20"/>
          <w:szCs w:val="20"/>
        </w:rPr>
        <w:t>Summary</w:t>
      </w:r>
    </w:p>
    <w:p w14:paraId="38C8F1BD" w14:textId="5166B6AB" w:rsidR="001B2F84" w:rsidRPr="008C1192" w:rsidRDefault="001B2F84" w:rsidP="00C8031E">
      <w:pPr>
        <w:jc w:val="left"/>
        <w:rPr>
          <w:rFonts w:ascii="Arial" w:eastAsia="Palatino Linotype" w:hAnsi="Arial" w:cs="Arial"/>
          <w:color w:val="000000"/>
          <w:sz w:val="20"/>
          <w:szCs w:val="20"/>
        </w:rPr>
      </w:pPr>
      <w:r w:rsidRPr="008C1192">
        <w:rPr>
          <w:rFonts w:ascii="Arial" w:eastAsia="Palatino Linotype" w:hAnsi="Arial" w:cs="Arial"/>
          <w:color w:val="000000"/>
          <w:sz w:val="20"/>
          <w:szCs w:val="20"/>
        </w:rPr>
        <w:t>Requires that, in election proposing annexation, votes from city and territory to be annexed be counted separately to determine separate majorities if territory to be annexed includes 100 acres or more. Requires that votes from city and territory to be annexed be combined to determine single majority if territory to be annexed includes less than 100 acres.</w:t>
      </w:r>
    </w:p>
    <w:p w14:paraId="6C7A90B1" w14:textId="350DB696" w:rsidR="001B2F84" w:rsidRPr="008C1192" w:rsidRDefault="001B2F84" w:rsidP="00C8031E">
      <w:pPr>
        <w:jc w:val="left"/>
        <w:rPr>
          <w:rFonts w:ascii="Arial" w:hAnsi="Arial" w:cs="Arial"/>
          <w:sz w:val="20"/>
          <w:szCs w:val="20"/>
        </w:rPr>
      </w:pPr>
    </w:p>
    <w:p w14:paraId="6A225BB3" w14:textId="4EBAEE7E" w:rsidR="001B2F84" w:rsidRPr="008C1192" w:rsidRDefault="001B2F84" w:rsidP="00C8031E">
      <w:pPr>
        <w:jc w:val="left"/>
        <w:rPr>
          <w:rFonts w:ascii="Arial" w:hAnsi="Arial" w:cs="Arial"/>
          <w:sz w:val="20"/>
          <w:szCs w:val="20"/>
        </w:rPr>
      </w:pPr>
      <w:r w:rsidRPr="008C1192">
        <w:rPr>
          <w:rFonts w:ascii="Arial" w:hAnsi="Arial" w:cs="Arial"/>
          <w:sz w:val="20"/>
          <w:szCs w:val="20"/>
        </w:rPr>
        <w:t>Status</w:t>
      </w:r>
    </w:p>
    <w:p w14:paraId="3182CFD5" w14:textId="77777777" w:rsidR="001B2F84" w:rsidRPr="008C1192" w:rsidRDefault="001B2F84" w:rsidP="00C8031E">
      <w:pPr>
        <w:jc w:val="left"/>
        <w:rPr>
          <w:rFonts w:ascii="Arial" w:hAnsi="Arial" w:cs="Arial"/>
          <w:sz w:val="20"/>
          <w:szCs w:val="20"/>
        </w:rPr>
      </w:pPr>
      <w:r w:rsidRPr="008C1192">
        <w:rPr>
          <w:rFonts w:ascii="Arial" w:hAnsi="Arial" w:cs="Arial"/>
          <w:sz w:val="20"/>
          <w:szCs w:val="20"/>
        </w:rPr>
        <w:t>A public hearing was held in the House Agriculture and Land Use committee on February 5.</w:t>
      </w:r>
    </w:p>
    <w:p w14:paraId="78A327A1" w14:textId="77777777" w:rsidR="001B2F84" w:rsidRPr="008C1192" w:rsidRDefault="001B2F84" w:rsidP="00C8031E">
      <w:pPr>
        <w:jc w:val="left"/>
        <w:rPr>
          <w:rFonts w:ascii="Arial" w:hAnsi="Arial" w:cs="Arial"/>
          <w:sz w:val="20"/>
          <w:szCs w:val="20"/>
        </w:rPr>
      </w:pPr>
    </w:p>
    <w:p w14:paraId="791383D8" w14:textId="6FCDC6FC" w:rsidR="00F26909" w:rsidRPr="008C1192" w:rsidRDefault="005B0EB9" w:rsidP="00C8031E">
      <w:pPr>
        <w:jc w:val="left"/>
        <w:rPr>
          <w:rFonts w:ascii="Arial" w:hAnsi="Arial" w:cs="Arial"/>
          <w:sz w:val="20"/>
          <w:szCs w:val="20"/>
        </w:rPr>
      </w:pPr>
      <w:hyperlink r:id="rId15" w:history="1">
        <w:r w:rsidR="00585225" w:rsidRPr="008C1192">
          <w:rPr>
            <w:rStyle w:val="Hyperlink"/>
            <w:rFonts w:ascii="Arial" w:hAnsi="Arial" w:cs="Arial"/>
            <w:sz w:val="20"/>
            <w:szCs w:val="20"/>
          </w:rPr>
          <w:t>HB 2228</w:t>
        </w:r>
      </w:hyperlink>
    </w:p>
    <w:p w14:paraId="461B659E" w14:textId="4457A1DD" w:rsidR="00585225" w:rsidRPr="008C1192" w:rsidRDefault="000B2748" w:rsidP="00C8031E">
      <w:pPr>
        <w:jc w:val="left"/>
        <w:rPr>
          <w:rFonts w:ascii="Arial" w:hAnsi="Arial" w:cs="Arial"/>
          <w:sz w:val="20"/>
          <w:szCs w:val="20"/>
        </w:rPr>
      </w:pPr>
      <w:r w:rsidRPr="008C1192">
        <w:rPr>
          <w:rFonts w:ascii="Arial" w:hAnsi="Arial" w:cs="Arial"/>
          <w:sz w:val="20"/>
          <w:szCs w:val="20"/>
        </w:rPr>
        <w:t>Summary</w:t>
      </w:r>
    </w:p>
    <w:p w14:paraId="70E97FE9" w14:textId="4333ED63" w:rsidR="005B0EB9" w:rsidRPr="008C1192" w:rsidRDefault="00B567AF" w:rsidP="00C8031E">
      <w:pPr>
        <w:jc w:val="left"/>
        <w:rPr>
          <w:rFonts w:ascii="Arial" w:eastAsia="Palatino Linotype" w:hAnsi="Arial" w:cs="Arial"/>
          <w:color w:val="000000"/>
          <w:sz w:val="20"/>
          <w:szCs w:val="20"/>
        </w:rPr>
      </w:pPr>
      <w:r w:rsidRPr="008C1192">
        <w:rPr>
          <w:rFonts w:ascii="Arial" w:eastAsia="Palatino Linotype" w:hAnsi="Arial" w:cs="Arial"/>
          <w:color w:val="000000"/>
          <w:sz w:val="20"/>
          <w:szCs w:val="20"/>
        </w:rPr>
        <w:t xml:space="preserve">Establishes Local Government Technical Assistance Program within Housing and Community Services Department. Requires program to </w:t>
      </w:r>
      <w:proofErr w:type="gramStart"/>
      <w:r w:rsidRPr="008C1192">
        <w:rPr>
          <w:rFonts w:ascii="Arial" w:eastAsia="Palatino Linotype" w:hAnsi="Arial" w:cs="Arial"/>
          <w:color w:val="000000"/>
          <w:sz w:val="20"/>
          <w:szCs w:val="20"/>
        </w:rPr>
        <w:t>provide assistance to</w:t>
      </w:r>
      <w:proofErr w:type="gramEnd"/>
      <w:r w:rsidRPr="008C1192">
        <w:rPr>
          <w:rFonts w:ascii="Arial" w:eastAsia="Palatino Linotype" w:hAnsi="Arial" w:cs="Arial"/>
          <w:color w:val="000000"/>
          <w:sz w:val="20"/>
          <w:szCs w:val="20"/>
        </w:rPr>
        <w:t xml:space="preserve"> League of Oregon Cities and Association of Oregon Counties to develop regional housing and development staff to assist cities and counties in providing needed housing. Appropriates funds for program to department.</w:t>
      </w:r>
    </w:p>
    <w:p w14:paraId="3A26CDD3" w14:textId="7DB2EFD7" w:rsidR="00B567AF" w:rsidRPr="008C1192" w:rsidRDefault="00B567AF" w:rsidP="00C8031E">
      <w:pPr>
        <w:jc w:val="left"/>
        <w:rPr>
          <w:rFonts w:ascii="Arial" w:hAnsi="Arial" w:cs="Arial"/>
          <w:sz w:val="20"/>
          <w:szCs w:val="20"/>
        </w:rPr>
      </w:pPr>
    </w:p>
    <w:p w14:paraId="54A8034A" w14:textId="1629351E" w:rsidR="00B567AF" w:rsidRPr="008C1192" w:rsidRDefault="00B567AF" w:rsidP="00C8031E">
      <w:pPr>
        <w:jc w:val="left"/>
        <w:rPr>
          <w:rFonts w:ascii="Arial" w:hAnsi="Arial" w:cs="Arial"/>
          <w:sz w:val="20"/>
          <w:szCs w:val="20"/>
        </w:rPr>
      </w:pPr>
      <w:r w:rsidRPr="008C1192">
        <w:rPr>
          <w:rFonts w:ascii="Arial" w:hAnsi="Arial" w:cs="Arial"/>
          <w:sz w:val="20"/>
          <w:szCs w:val="20"/>
        </w:rPr>
        <w:t>Status</w:t>
      </w:r>
    </w:p>
    <w:p w14:paraId="45E77CBD" w14:textId="653EFEEA" w:rsidR="00B567AF" w:rsidRPr="008C1192" w:rsidRDefault="00B567AF" w:rsidP="00C8031E">
      <w:pPr>
        <w:jc w:val="left"/>
        <w:rPr>
          <w:rFonts w:ascii="Arial" w:hAnsi="Arial" w:cs="Arial"/>
          <w:sz w:val="20"/>
          <w:szCs w:val="20"/>
        </w:rPr>
      </w:pPr>
      <w:r w:rsidRPr="008C1192">
        <w:rPr>
          <w:rFonts w:ascii="Arial" w:hAnsi="Arial" w:cs="Arial"/>
          <w:sz w:val="20"/>
          <w:szCs w:val="20"/>
        </w:rPr>
        <w:t xml:space="preserve">A public hearing was held on </w:t>
      </w:r>
      <w:r w:rsidR="00326BF7" w:rsidRPr="008C1192">
        <w:rPr>
          <w:rFonts w:ascii="Arial" w:hAnsi="Arial" w:cs="Arial"/>
          <w:sz w:val="20"/>
          <w:szCs w:val="20"/>
        </w:rPr>
        <w:t xml:space="preserve">February 4.  An amendment is drafted and will be incorporated into the bill on March 20. </w:t>
      </w:r>
    </w:p>
    <w:p w14:paraId="0320103E" w14:textId="77777777" w:rsidR="000B2748" w:rsidRPr="008C1192" w:rsidRDefault="000B2748" w:rsidP="00C8031E">
      <w:pPr>
        <w:jc w:val="left"/>
        <w:rPr>
          <w:rFonts w:ascii="Arial" w:hAnsi="Arial" w:cs="Arial"/>
          <w:sz w:val="20"/>
          <w:szCs w:val="20"/>
        </w:rPr>
      </w:pPr>
    </w:p>
    <w:p w14:paraId="0213DDDF" w14:textId="768DD9D4" w:rsidR="00585225" w:rsidRPr="008C1192" w:rsidRDefault="00602F1A" w:rsidP="00C8031E">
      <w:pPr>
        <w:jc w:val="left"/>
        <w:rPr>
          <w:rFonts w:ascii="Arial" w:hAnsi="Arial" w:cs="Arial"/>
          <w:sz w:val="20"/>
          <w:szCs w:val="20"/>
        </w:rPr>
      </w:pPr>
      <w:hyperlink r:id="rId16" w:history="1">
        <w:r w:rsidR="00D178CA" w:rsidRPr="008C1192">
          <w:rPr>
            <w:rStyle w:val="Hyperlink"/>
            <w:rFonts w:ascii="Arial" w:hAnsi="Arial" w:cs="Arial"/>
            <w:sz w:val="20"/>
            <w:szCs w:val="20"/>
          </w:rPr>
          <w:t>HB 2306</w:t>
        </w:r>
      </w:hyperlink>
    </w:p>
    <w:p w14:paraId="19D63FB1" w14:textId="13BB091B" w:rsidR="00B43587" w:rsidRPr="008C1192" w:rsidRDefault="00D307DE" w:rsidP="00C8031E">
      <w:pPr>
        <w:jc w:val="left"/>
        <w:rPr>
          <w:rFonts w:ascii="Arial" w:hAnsi="Arial" w:cs="Arial"/>
          <w:sz w:val="20"/>
          <w:szCs w:val="20"/>
        </w:rPr>
      </w:pPr>
      <w:r w:rsidRPr="008C1192">
        <w:rPr>
          <w:rFonts w:ascii="Arial" w:hAnsi="Arial" w:cs="Arial"/>
          <w:sz w:val="20"/>
          <w:szCs w:val="20"/>
        </w:rPr>
        <w:t>Summary</w:t>
      </w:r>
    </w:p>
    <w:p w14:paraId="0958FA9F" w14:textId="72DE734B" w:rsidR="00D307DE" w:rsidRPr="008C1192" w:rsidRDefault="00D307DE" w:rsidP="00C8031E">
      <w:pPr>
        <w:jc w:val="left"/>
        <w:rPr>
          <w:rFonts w:ascii="Arial" w:eastAsia="Palatino Linotype" w:hAnsi="Arial" w:cs="Arial"/>
          <w:color w:val="000000"/>
          <w:sz w:val="20"/>
          <w:szCs w:val="20"/>
        </w:rPr>
      </w:pPr>
      <w:r w:rsidRPr="008C1192">
        <w:rPr>
          <w:rFonts w:ascii="Arial" w:eastAsia="Palatino Linotype" w:hAnsi="Arial" w:cs="Arial"/>
          <w:color w:val="000000"/>
          <w:sz w:val="20"/>
          <w:szCs w:val="20"/>
        </w:rPr>
        <w:t>Requires city or county to issue residential building permits upon substantial completion of construction of public improvements in residential subdivisions.</w:t>
      </w:r>
    </w:p>
    <w:p w14:paraId="5AF9EEDE" w14:textId="414DA6C5" w:rsidR="00D307DE" w:rsidRPr="008C1192" w:rsidRDefault="00D307DE" w:rsidP="00C8031E">
      <w:pPr>
        <w:jc w:val="left"/>
        <w:rPr>
          <w:rFonts w:ascii="Arial" w:hAnsi="Arial" w:cs="Arial"/>
          <w:sz w:val="20"/>
          <w:szCs w:val="20"/>
        </w:rPr>
      </w:pPr>
    </w:p>
    <w:p w14:paraId="5B03B186" w14:textId="3C246D4A" w:rsidR="00D307DE" w:rsidRPr="008C1192" w:rsidRDefault="00D307DE" w:rsidP="00C8031E">
      <w:pPr>
        <w:jc w:val="left"/>
        <w:rPr>
          <w:rFonts w:ascii="Arial" w:hAnsi="Arial" w:cs="Arial"/>
          <w:sz w:val="20"/>
          <w:szCs w:val="20"/>
        </w:rPr>
      </w:pPr>
      <w:r w:rsidRPr="008C1192">
        <w:rPr>
          <w:rFonts w:ascii="Arial" w:hAnsi="Arial" w:cs="Arial"/>
          <w:sz w:val="20"/>
          <w:szCs w:val="20"/>
        </w:rPr>
        <w:t>Status</w:t>
      </w:r>
    </w:p>
    <w:p w14:paraId="5C8172CB" w14:textId="63A1218F" w:rsidR="00D307DE" w:rsidRPr="008C1192" w:rsidRDefault="00D307DE" w:rsidP="00C8031E">
      <w:pPr>
        <w:jc w:val="left"/>
        <w:rPr>
          <w:rFonts w:ascii="Arial" w:hAnsi="Arial" w:cs="Arial"/>
          <w:sz w:val="20"/>
          <w:szCs w:val="20"/>
        </w:rPr>
      </w:pPr>
      <w:r w:rsidRPr="008C1192">
        <w:rPr>
          <w:rFonts w:ascii="Arial" w:hAnsi="Arial" w:cs="Arial"/>
          <w:sz w:val="20"/>
          <w:szCs w:val="20"/>
        </w:rPr>
        <w:t>A public hearing was held in the House Human Services and Housing Committee on March 18.  An amendment is likely forthcoming.</w:t>
      </w:r>
    </w:p>
    <w:p w14:paraId="1C763B85" w14:textId="77777777" w:rsidR="00D307DE" w:rsidRPr="008C1192" w:rsidRDefault="00D307DE" w:rsidP="00C8031E">
      <w:pPr>
        <w:jc w:val="left"/>
        <w:rPr>
          <w:rFonts w:ascii="Arial" w:hAnsi="Arial" w:cs="Arial"/>
          <w:sz w:val="20"/>
          <w:szCs w:val="20"/>
        </w:rPr>
      </w:pPr>
    </w:p>
    <w:p w14:paraId="427B05E1" w14:textId="1DC60D53" w:rsidR="00B43587" w:rsidRPr="008C1192" w:rsidRDefault="00773205" w:rsidP="00C8031E">
      <w:pPr>
        <w:jc w:val="left"/>
        <w:rPr>
          <w:rFonts w:ascii="Arial" w:hAnsi="Arial" w:cs="Arial"/>
          <w:sz w:val="20"/>
          <w:szCs w:val="20"/>
        </w:rPr>
      </w:pPr>
      <w:hyperlink r:id="rId17" w:history="1">
        <w:r w:rsidR="00B43587" w:rsidRPr="008C1192">
          <w:rPr>
            <w:rStyle w:val="Hyperlink"/>
            <w:rFonts w:ascii="Arial" w:hAnsi="Arial" w:cs="Arial"/>
            <w:sz w:val="20"/>
            <w:szCs w:val="20"/>
          </w:rPr>
          <w:t>HB 2560</w:t>
        </w:r>
      </w:hyperlink>
    </w:p>
    <w:p w14:paraId="4C5F6C37" w14:textId="153C5B20" w:rsidR="00B43587" w:rsidRPr="008C1192" w:rsidRDefault="00773205" w:rsidP="00C8031E">
      <w:pPr>
        <w:jc w:val="left"/>
        <w:rPr>
          <w:rFonts w:ascii="Arial" w:hAnsi="Arial" w:cs="Arial"/>
          <w:sz w:val="20"/>
          <w:szCs w:val="20"/>
        </w:rPr>
      </w:pPr>
      <w:r w:rsidRPr="008C1192">
        <w:rPr>
          <w:rFonts w:ascii="Arial" w:hAnsi="Arial" w:cs="Arial"/>
          <w:sz w:val="20"/>
          <w:szCs w:val="20"/>
        </w:rPr>
        <w:t>Summary</w:t>
      </w:r>
    </w:p>
    <w:p w14:paraId="4810732B" w14:textId="0E0644BF" w:rsidR="00773205" w:rsidRPr="008C1192" w:rsidRDefault="00072F8D" w:rsidP="00C8031E">
      <w:pPr>
        <w:jc w:val="left"/>
        <w:rPr>
          <w:rFonts w:ascii="Arial" w:eastAsia="Palatino Linotype" w:hAnsi="Arial" w:cs="Arial"/>
          <w:color w:val="000000"/>
          <w:sz w:val="20"/>
          <w:szCs w:val="20"/>
        </w:rPr>
      </w:pPr>
      <w:r w:rsidRPr="008C1192">
        <w:rPr>
          <w:rFonts w:ascii="Arial" w:eastAsia="Palatino Linotype" w:hAnsi="Arial" w:cs="Arial"/>
          <w:color w:val="000000"/>
          <w:sz w:val="20"/>
          <w:szCs w:val="20"/>
        </w:rPr>
        <w:t>Directs Department of Land Conservation and Development to study methods to mitigate impacts of technology towers on aesthetics. Declares emergency, effective on passage.</w:t>
      </w:r>
    </w:p>
    <w:p w14:paraId="21880B5C" w14:textId="77777777" w:rsidR="00072F8D" w:rsidRPr="008C1192" w:rsidRDefault="00072F8D" w:rsidP="00C8031E">
      <w:pPr>
        <w:jc w:val="left"/>
        <w:rPr>
          <w:rFonts w:ascii="Arial" w:hAnsi="Arial" w:cs="Arial"/>
          <w:sz w:val="20"/>
          <w:szCs w:val="20"/>
        </w:rPr>
      </w:pPr>
    </w:p>
    <w:p w14:paraId="682C070E" w14:textId="7B289632" w:rsidR="00773205" w:rsidRPr="008C1192" w:rsidRDefault="00773205" w:rsidP="00C8031E">
      <w:pPr>
        <w:jc w:val="left"/>
        <w:rPr>
          <w:rFonts w:ascii="Arial" w:hAnsi="Arial" w:cs="Arial"/>
          <w:sz w:val="20"/>
          <w:szCs w:val="20"/>
        </w:rPr>
      </w:pPr>
      <w:r w:rsidRPr="008C1192">
        <w:rPr>
          <w:rFonts w:ascii="Arial" w:hAnsi="Arial" w:cs="Arial"/>
          <w:sz w:val="20"/>
          <w:szCs w:val="20"/>
        </w:rPr>
        <w:t>Status</w:t>
      </w:r>
    </w:p>
    <w:p w14:paraId="5F16EAD5" w14:textId="6C435EF8" w:rsidR="00072F8D" w:rsidRPr="008C1192" w:rsidRDefault="00072F8D" w:rsidP="00C8031E">
      <w:pPr>
        <w:jc w:val="left"/>
        <w:rPr>
          <w:rFonts w:ascii="Arial" w:hAnsi="Arial" w:cs="Arial"/>
          <w:sz w:val="20"/>
          <w:szCs w:val="20"/>
        </w:rPr>
      </w:pPr>
      <w:r w:rsidRPr="008C1192">
        <w:rPr>
          <w:rFonts w:ascii="Arial" w:hAnsi="Arial" w:cs="Arial"/>
          <w:sz w:val="20"/>
          <w:szCs w:val="20"/>
        </w:rPr>
        <w:t xml:space="preserve">A public hearing was held in the House Agriculture and Land Use Committee on </w:t>
      </w:r>
      <w:r w:rsidR="00D70AE0" w:rsidRPr="008C1192">
        <w:rPr>
          <w:rFonts w:ascii="Arial" w:hAnsi="Arial" w:cs="Arial"/>
          <w:sz w:val="20"/>
          <w:szCs w:val="20"/>
        </w:rPr>
        <w:t>February 21.</w:t>
      </w:r>
    </w:p>
    <w:p w14:paraId="53425F7D" w14:textId="77777777" w:rsidR="00773205" w:rsidRPr="008C1192" w:rsidRDefault="00773205" w:rsidP="00C8031E">
      <w:pPr>
        <w:jc w:val="left"/>
        <w:rPr>
          <w:rFonts w:ascii="Arial" w:hAnsi="Arial" w:cs="Arial"/>
          <w:sz w:val="20"/>
          <w:szCs w:val="20"/>
        </w:rPr>
      </w:pPr>
    </w:p>
    <w:p w14:paraId="1032591D" w14:textId="76B0BBA8" w:rsidR="00B43587" w:rsidRPr="008C1192" w:rsidRDefault="00636778" w:rsidP="00C8031E">
      <w:pPr>
        <w:jc w:val="left"/>
        <w:rPr>
          <w:rFonts w:ascii="Arial" w:hAnsi="Arial" w:cs="Arial"/>
          <w:sz w:val="20"/>
          <w:szCs w:val="20"/>
        </w:rPr>
      </w:pPr>
      <w:hyperlink r:id="rId18" w:history="1">
        <w:r w:rsidR="00DD679C" w:rsidRPr="008C1192">
          <w:rPr>
            <w:rStyle w:val="Hyperlink"/>
            <w:rFonts w:ascii="Arial" w:hAnsi="Arial" w:cs="Arial"/>
            <w:sz w:val="20"/>
            <w:szCs w:val="20"/>
          </w:rPr>
          <w:t>HB 2577</w:t>
        </w:r>
      </w:hyperlink>
    </w:p>
    <w:p w14:paraId="31F2E96D" w14:textId="6443A14E" w:rsidR="00EB230B" w:rsidRPr="008C1192" w:rsidRDefault="00EB230B" w:rsidP="00C8031E">
      <w:pPr>
        <w:jc w:val="left"/>
        <w:rPr>
          <w:rFonts w:ascii="Arial" w:hAnsi="Arial" w:cs="Arial"/>
          <w:sz w:val="20"/>
          <w:szCs w:val="20"/>
        </w:rPr>
      </w:pPr>
      <w:r w:rsidRPr="008C1192">
        <w:rPr>
          <w:rFonts w:ascii="Arial" w:hAnsi="Arial" w:cs="Arial"/>
          <w:sz w:val="20"/>
          <w:szCs w:val="20"/>
        </w:rPr>
        <w:t>Summary</w:t>
      </w:r>
    </w:p>
    <w:p w14:paraId="11900C46" w14:textId="7B7D88C5" w:rsidR="00EB230B" w:rsidRPr="008C1192" w:rsidRDefault="00EB230B" w:rsidP="00C8031E">
      <w:pPr>
        <w:jc w:val="left"/>
        <w:rPr>
          <w:rFonts w:ascii="Arial" w:eastAsia="Palatino Linotype" w:hAnsi="Arial" w:cs="Arial"/>
          <w:color w:val="000000"/>
          <w:sz w:val="20"/>
          <w:szCs w:val="20"/>
        </w:rPr>
      </w:pPr>
      <w:r w:rsidRPr="008C1192">
        <w:rPr>
          <w:rFonts w:ascii="Arial" w:eastAsia="Palatino Linotype" w:hAnsi="Arial" w:cs="Arial"/>
          <w:color w:val="000000"/>
          <w:sz w:val="20"/>
          <w:szCs w:val="20"/>
        </w:rPr>
        <w:t>Requires three-year waiting period for annexation of property that is zoned to allow residential use as permitted use in zone and is in residential use when annexation is initiated. Declares emergency, effective on passage.</w:t>
      </w:r>
    </w:p>
    <w:p w14:paraId="19F4D545" w14:textId="60A67A87" w:rsidR="00EB230B" w:rsidRPr="008C1192" w:rsidRDefault="00EB230B" w:rsidP="00C8031E">
      <w:pPr>
        <w:jc w:val="left"/>
        <w:rPr>
          <w:rFonts w:ascii="Arial" w:hAnsi="Arial" w:cs="Arial"/>
          <w:sz w:val="20"/>
          <w:szCs w:val="20"/>
        </w:rPr>
      </w:pPr>
    </w:p>
    <w:p w14:paraId="6DB76B4D" w14:textId="2AC4390F" w:rsidR="00EB230B" w:rsidRPr="008C1192" w:rsidRDefault="00EB230B" w:rsidP="00C8031E">
      <w:pPr>
        <w:jc w:val="left"/>
        <w:rPr>
          <w:rFonts w:ascii="Arial" w:hAnsi="Arial" w:cs="Arial"/>
          <w:sz w:val="20"/>
          <w:szCs w:val="20"/>
        </w:rPr>
      </w:pPr>
      <w:r w:rsidRPr="008C1192">
        <w:rPr>
          <w:rFonts w:ascii="Arial" w:hAnsi="Arial" w:cs="Arial"/>
          <w:sz w:val="20"/>
          <w:szCs w:val="20"/>
        </w:rPr>
        <w:lastRenderedPageBreak/>
        <w:t>Status</w:t>
      </w:r>
    </w:p>
    <w:p w14:paraId="5BFC9452" w14:textId="50FDCFC4" w:rsidR="00EB230B" w:rsidRPr="008C1192" w:rsidRDefault="00EB230B" w:rsidP="00C8031E">
      <w:pPr>
        <w:jc w:val="left"/>
        <w:rPr>
          <w:rFonts w:ascii="Arial" w:hAnsi="Arial" w:cs="Arial"/>
          <w:sz w:val="20"/>
          <w:szCs w:val="20"/>
        </w:rPr>
      </w:pPr>
      <w:r w:rsidRPr="008C1192">
        <w:rPr>
          <w:rFonts w:ascii="Arial" w:hAnsi="Arial" w:cs="Arial"/>
          <w:sz w:val="20"/>
          <w:szCs w:val="20"/>
        </w:rPr>
        <w:t xml:space="preserve">A public hearing was held in the House Agriculture and Land Use Committee on February </w:t>
      </w:r>
      <w:r w:rsidRPr="008C1192">
        <w:rPr>
          <w:rFonts w:ascii="Arial" w:hAnsi="Arial" w:cs="Arial"/>
          <w:sz w:val="20"/>
          <w:szCs w:val="20"/>
        </w:rPr>
        <w:t>5</w:t>
      </w:r>
      <w:r w:rsidRPr="008C1192">
        <w:rPr>
          <w:rFonts w:ascii="Arial" w:hAnsi="Arial" w:cs="Arial"/>
          <w:sz w:val="20"/>
          <w:szCs w:val="20"/>
        </w:rPr>
        <w:t>.</w:t>
      </w:r>
    </w:p>
    <w:p w14:paraId="10402D9D" w14:textId="0922A606" w:rsidR="00DD679C" w:rsidRPr="008C1192" w:rsidRDefault="00DD679C" w:rsidP="00C8031E">
      <w:pPr>
        <w:jc w:val="left"/>
        <w:rPr>
          <w:rFonts w:ascii="Arial" w:hAnsi="Arial" w:cs="Arial"/>
          <w:sz w:val="20"/>
          <w:szCs w:val="20"/>
        </w:rPr>
      </w:pPr>
    </w:p>
    <w:p w14:paraId="1147DA52" w14:textId="029FED46" w:rsidR="00DD679C" w:rsidRPr="008C1192" w:rsidRDefault="002F5991" w:rsidP="00C8031E">
      <w:pPr>
        <w:jc w:val="left"/>
        <w:rPr>
          <w:rFonts w:ascii="Arial" w:hAnsi="Arial" w:cs="Arial"/>
          <w:sz w:val="20"/>
          <w:szCs w:val="20"/>
        </w:rPr>
      </w:pPr>
      <w:hyperlink r:id="rId19" w:history="1">
        <w:r w:rsidR="00BD3C05" w:rsidRPr="008C1192">
          <w:rPr>
            <w:rStyle w:val="Hyperlink"/>
            <w:rFonts w:ascii="Arial" w:hAnsi="Arial" w:cs="Arial"/>
            <w:sz w:val="20"/>
            <w:szCs w:val="20"/>
          </w:rPr>
          <w:t>HB 2916</w:t>
        </w:r>
      </w:hyperlink>
    </w:p>
    <w:p w14:paraId="72AD4840" w14:textId="544E995A" w:rsidR="00BD3C05" w:rsidRPr="008C1192" w:rsidRDefault="00BD3C05" w:rsidP="00C8031E">
      <w:pPr>
        <w:jc w:val="left"/>
        <w:rPr>
          <w:rFonts w:ascii="Arial" w:hAnsi="Arial" w:cs="Arial"/>
          <w:sz w:val="20"/>
          <w:szCs w:val="20"/>
        </w:rPr>
      </w:pPr>
      <w:r w:rsidRPr="008C1192">
        <w:rPr>
          <w:rFonts w:ascii="Arial" w:hAnsi="Arial" w:cs="Arial"/>
          <w:sz w:val="20"/>
          <w:szCs w:val="20"/>
        </w:rPr>
        <w:t>Summary</w:t>
      </w:r>
    </w:p>
    <w:p w14:paraId="665DE1DE" w14:textId="6F749023" w:rsidR="00BD3C05" w:rsidRPr="008C1192" w:rsidRDefault="005E35CF" w:rsidP="00C8031E">
      <w:pPr>
        <w:jc w:val="left"/>
        <w:rPr>
          <w:rFonts w:ascii="Arial" w:eastAsia="Palatino Linotype" w:hAnsi="Arial" w:cs="Arial"/>
          <w:color w:val="000000"/>
          <w:sz w:val="20"/>
          <w:szCs w:val="20"/>
        </w:rPr>
      </w:pPr>
      <w:r w:rsidRPr="008C1192">
        <w:rPr>
          <w:rFonts w:ascii="Arial" w:eastAsia="Palatino Linotype" w:hAnsi="Arial" w:cs="Arial"/>
          <w:color w:val="000000"/>
          <w:sz w:val="20"/>
          <w:szCs w:val="20"/>
        </w:rPr>
        <w:t>Expands transitional housing accommodations allowed inside urban growth boundary to include all recreational structures. Removes limits on operators of and number of campgrounds providing transitional housing accommodations. Declares emergency, effective on passage.</w:t>
      </w:r>
    </w:p>
    <w:p w14:paraId="65CA8759" w14:textId="71EBCD7D" w:rsidR="005E35CF" w:rsidRPr="008C1192" w:rsidRDefault="005E35CF" w:rsidP="00C8031E">
      <w:pPr>
        <w:jc w:val="left"/>
        <w:rPr>
          <w:rFonts w:ascii="Arial" w:hAnsi="Arial" w:cs="Arial"/>
          <w:sz w:val="20"/>
          <w:szCs w:val="20"/>
        </w:rPr>
      </w:pPr>
    </w:p>
    <w:p w14:paraId="7E3731B0" w14:textId="0A36DC32" w:rsidR="005E35CF" w:rsidRPr="008C1192" w:rsidRDefault="005E35CF" w:rsidP="00C8031E">
      <w:pPr>
        <w:jc w:val="left"/>
        <w:rPr>
          <w:rFonts w:ascii="Arial" w:hAnsi="Arial" w:cs="Arial"/>
          <w:sz w:val="20"/>
          <w:szCs w:val="20"/>
        </w:rPr>
      </w:pPr>
      <w:r w:rsidRPr="008C1192">
        <w:rPr>
          <w:rFonts w:ascii="Arial" w:hAnsi="Arial" w:cs="Arial"/>
          <w:sz w:val="20"/>
          <w:szCs w:val="20"/>
        </w:rPr>
        <w:t>Status</w:t>
      </w:r>
    </w:p>
    <w:p w14:paraId="75AA1133" w14:textId="60904109" w:rsidR="005E35CF" w:rsidRPr="008C1192" w:rsidRDefault="005E35CF" w:rsidP="00C8031E">
      <w:pPr>
        <w:jc w:val="left"/>
        <w:rPr>
          <w:rFonts w:ascii="Arial" w:hAnsi="Arial" w:cs="Arial"/>
          <w:sz w:val="20"/>
          <w:szCs w:val="20"/>
        </w:rPr>
      </w:pPr>
      <w:r w:rsidRPr="008C1192">
        <w:rPr>
          <w:rFonts w:ascii="Arial" w:hAnsi="Arial" w:cs="Arial"/>
          <w:sz w:val="20"/>
          <w:szCs w:val="20"/>
        </w:rPr>
        <w:t>A public hearing was held in the House Human Services and Housing Committee on March 18.</w:t>
      </w:r>
    </w:p>
    <w:p w14:paraId="191BDCB3" w14:textId="5CEE7E1E" w:rsidR="00353789" w:rsidRPr="008C1192" w:rsidRDefault="00353789" w:rsidP="00C8031E">
      <w:pPr>
        <w:jc w:val="left"/>
        <w:rPr>
          <w:rFonts w:ascii="Arial" w:hAnsi="Arial" w:cs="Arial"/>
          <w:sz w:val="20"/>
          <w:szCs w:val="20"/>
        </w:rPr>
      </w:pPr>
    </w:p>
    <w:p w14:paraId="44691C7D" w14:textId="5324F8AA" w:rsidR="00353789" w:rsidRPr="008C1192" w:rsidRDefault="008B5D8B" w:rsidP="00C8031E">
      <w:pPr>
        <w:jc w:val="left"/>
        <w:rPr>
          <w:rFonts w:ascii="Arial" w:hAnsi="Arial" w:cs="Arial"/>
          <w:sz w:val="20"/>
          <w:szCs w:val="20"/>
        </w:rPr>
      </w:pPr>
      <w:hyperlink r:id="rId20" w:history="1">
        <w:r w:rsidR="00353789" w:rsidRPr="008C1192">
          <w:rPr>
            <w:rStyle w:val="Hyperlink"/>
            <w:rFonts w:ascii="Arial" w:hAnsi="Arial" w:cs="Arial"/>
            <w:sz w:val="20"/>
            <w:szCs w:val="20"/>
          </w:rPr>
          <w:t>HB 3017</w:t>
        </w:r>
      </w:hyperlink>
    </w:p>
    <w:p w14:paraId="40D55871" w14:textId="18098FC9" w:rsidR="00353789" w:rsidRPr="008C1192" w:rsidRDefault="00353789" w:rsidP="00C8031E">
      <w:pPr>
        <w:jc w:val="left"/>
        <w:rPr>
          <w:rFonts w:ascii="Arial" w:hAnsi="Arial" w:cs="Arial"/>
          <w:sz w:val="20"/>
          <w:szCs w:val="20"/>
        </w:rPr>
      </w:pPr>
      <w:r w:rsidRPr="008C1192">
        <w:rPr>
          <w:rFonts w:ascii="Arial" w:hAnsi="Arial" w:cs="Arial"/>
          <w:sz w:val="20"/>
          <w:szCs w:val="20"/>
        </w:rPr>
        <w:t>Summary</w:t>
      </w:r>
    </w:p>
    <w:p w14:paraId="41DDC053" w14:textId="7ABBD9CB" w:rsidR="00353789" w:rsidRPr="008C1192" w:rsidRDefault="00200FAB" w:rsidP="00C8031E">
      <w:pPr>
        <w:jc w:val="left"/>
        <w:rPr>
          <w:rFonts w:ascii="Arial" w:eastAsia="Palatino Linotype" w:hAnsi="Arial" w:cs="Arial"/>
          <w:color w:val="000000"/>
          <w:sz w:val="20"/>
          <w:szCs w:val="20"/>
        </w:rPr>
      </w:pPr>
      <w:r w:rsidRPr="008C1192">
        <w:rPr>
          <w:rFonts w:ascii="Arial" w:eastAsia="Palatino Linotype" w:hAnsi="Arial" w:cs="Arial"/>
          <w:color w:val="000000"/>
          <w:sz w:val="20"/>
          <w:szCs w:val="20"/>
        </w:rPr>
        <w:t>Restricts requirement that local governments apply clear and objective standards to only buildable lands.</w:t>
      </w:r>
    </w:p>
    <w:p w14:paraId="139F333D" w14:textId="77777777" w:rsidR="00200FAB" w:rsidRPr="008C1192" w:rsidRDefault="00200FAB" w:rsidP="00C8031E">
      <w:pPr>
        <w:jc w:val="left"/>
        <w:rPr>
          <w:rFonts w:ascii="Arial" w:hAnsi="Arial" w:cs="Arial"/>
          <w:sz w:val="20"/>
          <w:szCs w:val="20"/>
        </w:rPr>
      </w:pPr>
    </w:p>
    <w:p w14:paraId="6389D622" w14:textId="5D7D739D" w:rsidR="00353789" w:rsidRPr="008C1192" w:rsidRDefault="00353789" w:rsidP="00C8031E">
      <w:pPr>
        <w:jc w:val="left"/>
        <w:rPr>
          <w:rFonts w:ascii="Arial" w:hAnsi="Arial" w:cs="Arial"/>
          <w:sz w:val="20"/>
          <w:szCs w:val="20"/>
        </w:rPr>
      </w:pPr>
      <w:r w:rsidRPr="008C1192">
        <w:rPr>
          <w:rFonts w:ascii="Arial" w:hAnsi="Arial" w:cs="Arial"/>
          <w:sz w:val="20"/>
          <w:szCs w:val="20"/>
        </w:rPr>
        <w:t>Status</w:t>
      </w:r>
    </w:p>
    <w:p w14:paraId="30C940AD" w14:textId="1C914C91" w:rsidR="00200FAB" w:rsidRPr="008C1192" w:rsidRDefault="00200FAB" w:rsidP="00C8031E">
      <w:pPr>
        <w:jc w:val="left"/>
        <w:rPr>
          <w:rFonts w:ascii="Arial" w:hAnsi="Arial" w:cs="Arial"/>
          <w:sz w:val="20"/>
          <w:szCs w:val="20"/>
        </w:rPr>
      </w:pPr>
      <w:r w:rsidRPr="008C1192">
        <w:rPr>
          <w:rFonts w:ascii="Arial" w:hAnsi="Arial" w:cs="Arial"/>
          <w:sz w:val="20"/>
          <w:szCs w:val="20"/>
        </w:rPr>
        <w:t>No hearing has been scheduled.</w:t>
      </w:r>
    </w:p>
    <w:p w14:paraId="7774C0D6" w14:textId="77777777" w:rsidR="007C6033" w:rsidRPr="008C1192" w:rsidRDefault="007C6033" w:rsidP="00C8031E">
      <w:pPr>
        <w:jc w:val="left"/>
        <w:rPr>
          <w:rFonts w:ascii="Arial" w:hAnsi="Arial" w:cs="Arial"/>
          <w:sz w:val="20"/>
          <w:szCs w:val="20"/>
        </w:rPr>
      </w:pPr>
    </w:p>
    <w:p w14:paraId="0461FA4C" w14:textId="6C2B9F6E" w:rsidR="00F87E00" w:rsidRPr="008C1192" w:rsidRDefault="00353789" w:rsidP="00C8031E">
      <w:pPr>
        <w:jc w:val="left"/>
        <w:rPr>
          <w:rFonts w:ascii="Arial" w:hAnsi="Arial" w:cs="Arial"/>
          <w:sz w:val="20"/>
          <w:szCs w:val="20"/>
        </w:rPr>
      </w:pPr>
      <w:hyperlink r:id="rId21" w:history="1">
        <w:r w:rsidR="000035DC" w:rsidRPr="008C1192">
          <w:rPr>
            <w:rStyle w:val="Hyperlink"/>
            <w:rFonts w:ascii="Arial" w:hAnsi="Arial" w:cs="Arial"/>
            <w:sz w:val="20"/>
            <w:szCs w:val="20"/>
          </w:rPr>
          <w:t>HB 3018</w:t>
        </w:r>
      </w:hyperlink>
    </w:p>
    <w:p w14:paraId="014735C7" w14:textId="75F353B8" w:rsidR="000035DC" w:rsidRPr="008C1192" w:rsidRDefault="000035DC" w:rsidP="00C8031E">
      <w:pPr>
        <w:jc w:val="left"/>
        <w:rPr>
          <w:rFonts w:ascii="Arial" w:hAnsi="Arial" w:cs="Arial"/>
          <w:sz w:val="20"/>
          <w:szCs w:val="20"/>
        </w:rPr>
      </w:pPr>
      <w:r w:rsidRPr="008C1192">
        <w:rPr>
          <w:rFonts w:ascii="Arial" w:hAnsi="Arial" w:cs="Arial"/>
          <w:sz w:val="20"/>
          <w:szCs w:val="20"/>
        </w:rPr>
        <w:t>Summary</w:t>
      </w:r>
    </w:p>
    <w:p w14:paraId="12DFBA0D" w14:textId="72CEC118" w:rsidR="000035DC" w:rsidRPr="008C1192" w:rsidRDefault="005A2723" w:rsidP="00C8031E">
      <w:pPr>
        <w:jc w:val="left"/>
        <w:rPr>
          <w:rFonts w:ascii="Arial" w:eastAsia="Palatino Linotype" w:hAnsi="Arial" w:cs="Arial"/>
          <w:color w:val="000000"/>
          <w:sz w:val="20"/>
          <w:szCs w:val="20"/>
        </w:rPr>
      </w:pPr>
      <w:r w:rsidRPr="008C1192">
        <w:rPr>
          <w:rFonts w:ascii="Arial" w:eastAsia="Palatino Linotype" w:hAnsi="Arial" w:cs="Arial"/>
          <w:color w:val="000000"/>
          <w:sz w:val="20"/>
          <w:szCs w:val="20"/>
        </w:rPr>
        <w:t>Requires city to allow single-family dwellings in residential lots platted and zoned for such uses.</w:t>
      </w:r>
    </w:p>
    <w:p w14:paraId="00D2A298" w14:textId="77777777" w:rsidR="005A2723" w:rsidRPr="008C1192" w:rsidRDefault="005A2723" w:rsidP="00C8031E">
      <w:pPr>
        <w:jc w:val="left"/>
        <w:rPr>
          <w:rFonts w:ascii="Arial" w:hAnsi="Arial" w:cs="Arial"/>
          <w:sz w:val="20"/>
          <w:szCs w:val="20"/>
        </w:rPr>
      </w:pPr>
    </w:p>
    <w:p w14:paraId="5ECF5C2A" w14:textId="2BB451D9" w:rsidR="000035DC" w:rsidRPr="008C1192" w:rsidRDefault="000035DC" w:rsidP="00C8031E">
      <w:pPr>
        <w:jc w:val="left"/>
        <w:rPr>
          <w:rFonts w:ascii="Arial" w:hAnsi="Arial" w:cs="Arial"/>
          <w:sz w:val="20"/>
          <w:szCs w:val="20"/>
        </w:rPr>
      </w:pPr>
      <w:r w:rsidRPr="008C1192">
        <w:rPr>
          <w:rFonts w:ascii="Arial" w:hAnsi="Arial" w:cs="Arial"/>
          <w:sz w:val="20"/>
          <w:szCs w:val="20"/>
        </w:rPr>
        <w:t>Status</w:t>
      </w:r>
    </w:p>
    <w:p w14:paraId="3FB4C740" w14:textId="0B902EE8" w:rsidR="005A2723" w:rsidRPr="008C1192" w:rsidRDefault="005A2723" w:rsidP="00C8031E">
      <w:pPr>
        <w:jc w:val="left"/>
        <w:rPr>
          <w:rFonts w:ascii="Arial" w:hAnsi="Arial" w:cs="Arial"/>
          <w:sz w:val="20"/>
          <w:szCs w:val="20"/>
        </w:rPr>
      </w:pPr>
      <w:r w:rsidRPr="008C1192">
        <w:rPr>
          <w:rFonts w:ascii="Arial" w:hAnsi="Arial" w:cs="Arial"/>
          <w:sz w:val="20"/>
          <w:szCs w:val="20"/>
        </w:rPr>
        <w:t>A public hearing was held in the House Agriculture and Land Use Committee on March 12.</w:t>
      </w:r>
    </w:p>
    <w:p w14:paraId="3564272A" w14:textId="5E3F4887" w:rsidR="00BF70B0" w:rsidRPr="008C1192" w:rsidRDefault="00BF70B0" w:rsidP="00C8031E">
      <w:pPr>
        <w:jc w:val="left"/>
        <w:rPr>
          <w:rFonts w:ascii="Arial" w:hAnsi="Arial" w:cs="Arial"/>
          <w:sz w:val="20"/>
          <w:szCs w:val="20"/>
        </w:rPr>
      </w:pPr>
    </w:p>
    <w:p w14:paraId="3CCE4DD1" w14:textId="0D3DB08B" w:rsidR="00BF70B0" w:rsidRPr="008C1192" w:rsidRDefault="00D64C63" w:rsidP="00C8031E">
      <w:pPr>
        <w:jc w:val="left"/>
        <w:rPr>
          <w:rFonts w:ascii="Arial" w:hAnsi="Arial" w:cs="Arial"/>
          <w:sz w:val="20"/>
          <w:szCs w:val="20"/>
        </w:rPr>
      </w:pPr>
      <w:hyperlink r:id="rId22" w:history="1">
        <w:r w:rsidR="00BF70B0" w:rsidRPr="008C1192">
          <w:rPr>
            <w:rStyle w:val="Hyperlink"/>
            <w:rFonts w:ascii="Arial" w:hAnsi="Arial" w:cs="Arial"/>
            <w:sz w:val="20"/>
            <w:szCs w:val="20"/>
          </w:rPr>
          <w:t>HB 3226</w:t>
        </w:r>
      </w:hyperlink>
    </w:p>
    <w:p w14:paraId="1438C279" w14:textId="498882B0" w:rsidR="00BF70B0" w:rsidRPr="008C1192" w:rsidRDefault="00BF70B0" w:rsidP="00C8031E">
      <w:pPr>
        <w:jc w:val="left"/>
        <w:rPr>
          <w:rFonts w:ascii="Arial" w:hAnsi="Arial" w:cs="Arial"/>
          <w:sz w:val="20"/>
          <w:szCs w:val="20"/>
        </w:rPr>
      </w:pPr>
      <w:r w:rsidRPr="008C1192">
        <w:rPr>
          <w:rFonts w:ascii="Arial" w:hAnsi="Arial" w:cs="Arial"/>
          <w:sz w:val="20"/>
          <w:szCs w:val="20"/>
        </w:rPr>
        <w:t>Summary</w:t>
      </w:r>
    </w:p>
    <w:p w14:paraId="6C42FEF0" w14:textId="77777777" w:rsidR="00BF70B0" w:rsidRPr="008C1192" w:rsidRDefault="00BF70B0" w:rsidP="00C8031E">
      <w:pPr>
        <w:spacing w:line="240" w:lineRule="auto"/>
        <w:jc w:val="left"/>
        <w:rPr>
          <w:rFonts w:ascii="Arial" w:hAnsi="Arial" w:cs="Arial"/>
          <w:sz w:val="20"/>
          <w:szCs w:val="20"/>
        </w:rPr>
      </w:pPr>
      <w:r w:rsidRPr="008C1192">
        <w:rPr>
          <w:rFonts w:ascii="Arial" w:eastAsia="Palatino Linotype" w:hAnsi="Arial" w:cs="Arial"/>
          <w:color w:val="000000"/>
          <w:sz w:val="20"/>
          <w:szCs w:val="20"/>
        </w:rPr>
        <w:t>Requires local governments to allow building across lot lines if owner has recorded covenant not to sell separately. Establishes conditions under which covenant may be recorded.</w:t>
      </w:r>
    </w:p>
    <w:p w14:paraId="150A7E45" w14:textId="2FB5ADCB" w:rsidR="00BF70B0" w:rsidRPr="008C1192" w:rsidRDefault="00BF70B0" w:rsidP="00C8031E">
      <w:pPr>
        <w:jc w:val="left"/>
        <w:rPr>
          <w:rFonts w:ascii="Arial" w:hAnsi="Arial" w:cs="Arial"/>
          <w:sz w:val="20"/>
          <w:szCs w:val="20"/>
        </w:rPr>
      </w:pPr>
    </w:p>
    <w:p w14:paraId="67D91F08" w14:textId="5AA35085" w:rsidR="00BF70B0" w:rsidRPr="008C1192" w:rsidRDefault="00BF70B0" w:rsidP="00C8031E">
      <w:pPr>
        <w:jc w:val="left"/>
        <w:rPr>
          <w:rFonts w:ascii="Arial" w:hAnsi="Arial" w:cs="Arial"/>
          <w:sz w:val="20"/>
          <w:szCs w:val="20"/>
        </w:rPr>
      </w:pPr>
      <w:r w:rsidRPr="008C1192">
        <w:rPr>
          <w:rFonts w:ascii="Arial" w:hAnsi="Arial" w:cs="Arial"/>
          <w:sz w:val="20"/>
          <w:szCs w:val="20"/>
        </w:rPr>
        <w:t>Status</w:t>
      </w:r>
    </w:p>
    <w:p w14:paraId="4654E292" w14:textId="12AA7923" w:rsidR="00BF70B0" w:rsidRPr="008C1192" w:rsidRDefault="00BF70B0" w:rsidP="00C8031E">
      <w:pPr>
        <w:jc w:val="left"/>
        <w:rPr>
          <w:rFonts w:ascii="Arial" w:hAnsi="Arial" w:cs="Arial"/>
          <w:sz w:val="20"/>
          <w:szCs w:val="20"/>
        </w:rPr>
      </w:pPr>
      <w:r w:rsidRPr="008C1192">
        <w:rPr>
          <w:rFonts w:ascii="Arial" w:hAnsi="Arial" w:cs="Arial"/>
          <w:sz w:val="20"/>
          <w:szCs w:val="20"/>
        </w:rPr>
        <w:t>A public hearing is scheduled in the House Agriculture and Land Use Committee for March 19.</w:t>
      </w:r>
    </w:p>
    <w:p w14:paraId="30F5EB20" w14:textId="6549FDAE" w:rsidR="00D64C63" w:rsidRPr="008C1192" w:rsidRDefault="00D64C63" w:rsidP="00C8031E">
      <w:pPr>
        <w:jc w:val="left"/>
        <w:rPr>
          <w:rFonts w:ascii="Arial" w:hAnsi="Arial" w:cs="Arial"/>
          <w:sz w:val="20"/>
          <w:szCs w:val="20"/>
        </w:rPr>
      </w:pPr>
    </w:p>
    <w:p w14:paraId="6295F69B" w14:textId="0843F80F" w:rsidR="00D64C63" w:rsidRPr="008C1192" w:rsidRDefault="00BD2DF0" w:rsidP="00C8031E">
      <w:pPr>
        <w:jc w:val="left"/>
        <w:rPr>
          <w:rFonts w:ascii="Arial" w:hAnsi="Arial" w:cs="Arial"/>
          <w:sz w:val="20"/>
          <w:szCs w:val="20"/>
        </w:rPr>
      </w:pPr>
      <w:hyperlink r:id="rId23" w:history="1">
        <w:r w:rsidR="00D349B8" w:rsidRPr="008C1192">
          <w:rPr>
            <w:rStyle w:val="Hyperlink"/>
            <w:rFonts w:ascii="Arial" w:hAnsi="Arial" w:cs="Arial"/>
            <w:sz w:val="20"/>
            <w:szCs w:val="20"/>
          </w:rPr>
          <w:t>SB 10</w:t>
        </w:r>
      </w:hyperlink>
    </w:p>
    <w:p w14:paraId="11BF82B4" w14:textId="32D2ACFE" w:rsidR="00D349B8" w:rsidRPr="008C1192" w:rsidRDefault="00D349B8" w:rsidP="00C8031E">
      <w:pPr>
        <w:jc w:val="left"/>
        <w:rPr>
          <w:rFonts w:ascii="Arial" w:hAnsi="Arial" w:cs="Arial"/>
          <w:sz w:val="20"/>
          <w:szCs w:val="20"/>
        </w:rPr>
      </w:pPr>
      <w:r w:rsidRPr="008C1192">
        <w:rPr>
          <w:rFonts w:ascii="Arial" w:hAnsi="Arial" w:cs="Arial"/>
          <w:sz w:val="20"/>
          <w:szCs w:val="20"/>
        </w:rPr>
        <w:t>Summary</w:t>
      </w:r>
    </w:p>
    <w:p w14:paraId="57435B79" w14:textId="281D25B1" w:rsidR="00D349B8" w:rsidRPr="008C1192" w:rsidRDefault="007F54CD" w:rsidP="00C8031E">
      <w:pPr>
        <w:jc w:val="left"/>
        <w:rPr>
          <w:rFonts w:ascii="Arial" w:eastAsia="Palatino Linotype" w:hAnsi="Arial" w:cs="Arial"/>
          <w:color w:val="000000"/>
          <w:sz w:val="20"/>
          <w:szCs w:val="20"/>
        </w:rPr>
      </w:pPr>
      <w:r w:rsidRPr="008C1192">
        <w:rPr>
          <w:rFonts w:ascii="Arial" w:eastAsia="Palatino Linotype" w:hAnsi="Arial" w:cs="Arial"/>
          <w:color w:val="000000"/>
          <w:sz w:val="20"/>
          <w:szCs w:val="20"/>
        </w:rPr>
        <w:t>Establishes permissible density requirements within urban growth boundaries of cities within metropolitan service district or with population more than 10,000 for areas adjacent to transportation corridors and zoned to allow residential development.</w:t>
      </w:r>
    </w:p>
    <w:p w14:paraId="013BD1BE" w14:textId="6EEA22B6" w:rsidR="007F54CD" w:rsidRPr="008C1192" w:rsidRDefault="007F54CD" w:rsidP="00C8031E">
      <w:pPr>
        <w:jc w:val="left"/>
        <w:rPr>
          <w:rFonts w:ascii="Arial" w:hAnsi="Arial" w:cs="Arial"/>
          <w:sz w:val="20"/>
          <w:szCs w:val="20"/>
        </w:rPr>
      </w:pPr>
    </w:p>
    <w:p w14:paraId="2742A545" w14:textId="3490D845" w:rsidR="007F54CD" w:rsidRPr="008C1192" w:rsidRDefault="007F54CD" w:rsidP="00C8031E">
      <w:pPr>
        <w:jc w:val="left"/>
        <w:rPr>
          <w:rFonts w:ascii="Arial" w:hAnsi="Arial" w:cs="Arial"/>
          <w:sz w:val="20"/>
          <w:szCs w:val="20"/>
        </w:rPr>
      </w:pPr>
      <w:r w:rsidRPr="008C1192">
        <w:rPr>
          <w:rFonts w:ascii="Arial" w:hAnsi="Arial" w:cs="Arial"/>
          <w:sz w:val="20"/>
          <w:szCs w:val="20"/>
        </w:rPr>
        <w:t>Status</w:t>
      </w:r>
    </w:p>
    <w:p w14:paraId="33C5A8C2" w14:textId="681DB43E" w:rsidR="007F54CD" w:rsidRPr="008C1192" w:rsidRDefault="007F54CD" w:rsidP="00C8031E">
      <w:pPr>
        <w:jc w:val="left"/>
        <w:rPr>
          <w:rFonts w:ascii="Arial" w:hAnsi="Arial" w:cs="Arial"/>
          <w:sz w:val="20"/>
          <w:szCs w:val="20"/>
        </w:rPr>
      </w:pPr>
      <w:r w:rsidRPr="008C1192">
        <w:rPr>
          <w:rFonts w:ascii="Arial" w:hAnsi="Arial" w:cs="Arial"/>
          <w:sz w:val="20"/>
          <w:szCs w:val="20"/>
        </w:rPr>
        <w:t>A public hearing was held in the Senate Housing Committee on February 15.  A second public hearing is scheduled for April 1</w:t>
      </w:r>
      <w:r w:rsidR="00EC7DC4" w:rsidRPr="008C1192">
        <w:rPr>
          <w:rFonts w:ascii="Arial" w:hAnsi="Arial" w:cs="Arial"/>
          <w:sz w:val="20"/>
          <w:szCs w:val="20"/>
        </w:rPr>
        <w:t xml:space="preserve">, where an amendment will be discussed.  A proposal for the amendment is available </w:t>
      </w:r>
      <w:hyperlink r:id="rId24" w:history="1">
        <w:r w:rsidR="00EC7DC4" w:rsidRPr="008C1192">
          <w:rPr>
            <w:rStyle w:val="Hyperlink"/>
            <w:rFonts w:ascii="Arial" w:hAnsi="Arial" w:cs="Arial"/>
            <w:sz w:val="20"/>
            <w:szCs w:val="20"/>
          </w:rPr>
          <w:t>here</w:t>
        </w:r>
      </w:hyperlink>
      <w:r w:rsidR="00EC7DC4" w:rsidRPr="008C1192">
        <w:rPr>
          <w:rFonts w:ascii="Arial" w:hAnsi="Arial" w:cs="Arial"/>
          <w:sz w:val="20"/>
          <w:szCs w:val="20"/>
        </w:rPr>
        <w:t>.</w:t>
      </w:r>
    </w:p>
    <w:p w14:paraId="5698ACA0" w14:textId="3A236ADD" w:rsidR="008C77E0" w:rsidRPr="008C1192" w:rsidRDefault="008C77E0" w:rsidP="00C8031E">
      <w:pPr>
        <w:jc w:val="left"/>
        <w:rPr>
          <w:rFonts w:ascii="Arial" w:hAnsi="Arial" w:cs="Arial"/>
          <w:sz w:val="20"/>
          <w:szCs w:val="20"/>
        </w:rPr>
      </w:pPr>
    </w:p>
    <w:p w14:paraId="7BC779F9" w14:textId="18EC892C" w:rsidR="008C77E0" w:rsidRPr="008C1192" w:rsidRDefault="000F2FAD" w:rsidP="00C8031E">
      <w:pPr>
        <w:jc w:val="left"/>
        <w:rPr>
          <w:rFonts w:ascii="Arial" w:hAnsi="Arial" w:cs="Arial"/>
          <w:sz w:val="20"/>
          <w:szCs w:val="20"/>
        </w:rPr>
      </w:pPr>
      <w:hyperlink r:id="rId25" w:history="1">
        <w:r w:rsidR="00284F1A" w:rsidRPr="008C1192">
          <w:rPr>
            <w:rStyle w:val="Hyperlink"/>
            <w:rFonts w:ascii="Arial" w:hAnsi="Arial" w:cs="Arial"/>
            <w:sz w:val="20"/>
            <w:szCs w:val="20"/>
          </w:rPr>
          <w:t>SB 92</w:t>
        </w:r>
      </w:hyperlink>
    </w:p>
    <w:p w14:paraId="4405A8D7" w14:textId="4841DEB9" w:rsidR="00284F1A" w:rsidRPr="008C1192" w:rsidRDefault="00284F1A" w:rsidP="00C8031E">
      <w:pPr>
        <w:jc w:val="left"/>
        <w:rPr>
          <w:rFonts w:ascii="Arial" w:hAnsi="Arial" w:cs="Arial"/>
          <w:sz w:val="20"/>
          <w:szCs w:val="20"/>
        </w:rPr>
      </w:pPr>
      <w:r w:rsidRPr="008C1192">
        <w:rPr>
          <w:rFonts w:ascii="Arial" w:hAnsi="Arial" w:cs="Arial"/>
          <w:sz w:val="20"/>
          <w:szCs w:val="20"/>
        </w:rPr>
        <w:t>Summary</w:t>
      </w:r>
    </w:p>
    <w:p w14:paraId="220A420A" w14:textId="78E3D8BF" w:rsidR="00284F1A" w:rsidRPr="008C1192" w:rsidRDefault="00D66A5D" w:rsidP="00C8031E">
      <w:pPr>
        <w:jc w:val="left"/>
        <w:rPr>
          <w:rFonts w:ascii="Arial" w:eastAsia="Palatino Linotype" w:hAnsi="Arial" w:cs="Arial"/>
          <w:color w:val="000000"/>
          <w:sz w:val="20"/>
          <w:szCs w:val="20"/>
        </w:rPr>
      </w:pPr>
      <w:r w:rsidRPr="008C1192">
        <w:rPr>
          <w:rFonts w:ascii="Arial" w:eastAsia="Palatino Linotype" w:hAnsi="Arial" w:cs="Arial"/>
          <w:color w:val="000000"/>
          <w:sz w:val="20"/>
          <w:szCs w:val="20"/>
        </w:rPr>
        <w:t>Authorizes city to provide for as much as 20-year ramp-up to full taxation rate for property in annexed territory. Adds, for purposes of "island annexation," corporate boundaries of another city as permitted portion of boundary surrounding territory to be annexed.</w:t>
      </w:r>
    </w:p>
    <w:p w14:paraId="57FF1D35" w14:textId="711063FA" w:rsidR="00D66A5D" w:rsidRPr="008C1192" w:rsidRDefault="00D66A5D" w:rsidP="00C8031E">
      <w:pPr>
        <w:jc w:val="left"/>
        <w:rPr>
          <w:rFonts w:ascii="Arial" w:hAnsi="Arial" w:cs="Arial"/>
          <w:sz w:val="20"/>
          <w:szCs w:val="20"/>
        </w:rPr>
      </w:pPr>
    </w:p>
    <w:p w14:paraId="1CD852FA" w14:textId="1B00052C" w:rsidR="00D66A5D" w:rsidRPr="008C1192" w:rsidRDefault="00D66A5D" w:rsidP="00C8031E">
      <w:pPr>
        <w:jc w:val="left"/>
        <w:rPr>
          <w:rFonts w:ascii="Arial" w:hAnsi="Arial" w:cs="Arial"/>
          <w:sz w:val="20"/>
          <w:szCs w:val="20"/>
        </w:rPr>
      </w:pPr>
      <w:r w:rsidRPr="008C1192">
        <w:rPr>
          <w:rFonts w:ascii="Arial" w:hAnsi="Arial" w:cs="Arial"/>
          <w:sz w:val="20"/>
          <w:szCs w:val="20"/>
        </w:rPr>
        <w:t>Status</w:t>
      </w:r>
    </w:p>
    <w:p w14:paraId="6AD32A65" w14:textId="45571E8C" w:rsidR="00D66A5D" w:rsidRPr="008C1192" w:rsidRDefault="00D66A5D" w:rsidP="00C8031E">
      <w:pPr>
        <w:jc w:val="left"/>
        <w:rPr>
          <w:rFonts w:ascii="Arial" w:hAnsi="Arial" w:cs="Arial"/>
          <w:sz w:val="20"/>
          <w:szCs w:val="20"/>
        </w:rPr>
      </w:pPr>
      <w:r w:rsidRPr="008C1192">
        <w:rPr>
          <w:rFonts w:ascii="Arial" w:hAnsi="Arial" w:cs="Arial"/>
          <w:sz w:val="20"/>
          <w:szCs w:val="20"/>
        </w:rPr>
        <w:t>No public hearing has been scheduled.</w:t>
      </w:r>
    </w:p>
    <w:p w14:paraId="3A3BB83A" w14:textId="0E182289" w:rsidR="000F2FAD" w:rsidRPr="008C1192" w:rsidRDefault="000F2FAD" w:rsidP="00C8031E">
      <w:pPr>
        <w:jc w:val="left"/>
        <w:rPr>
          <w:rFonts w:ascii="Arial" w:hAnsi="Arial" w:cs="Arial"/>
          <w:sz w:val="20"/>
          <w:szCs w:val="20"/>
        </w:rPr>
      </w:pPr>
    </w:p>
    <w:p w14:paraId="4EF19BC3" w14:textId="28A06BCF" w:rsidR="00BF0A3A" w:rsidRPr="008C1192" w:rsidRDefault="00B634F1" w:rsidP="00C8031E">
      <w:pPr>
        <w:jc w:val="left"/>
        <w:rPr>
          <w:rFonts w:ascii="Arial" w:hAnsi="Arial" w:cs="Arial"/>
          <w:sz w:val="20"/>
          <w:szCs w:val="20"/>
        </w:rPr>
      </w:pPr>
      <w:hyperlink r:id="rId26" w:history="1">
        <w:r w:rsidR="00BF0A3A" w:rsidRPr="008C1192">
          <w:rPr>
            <w:rStyle w:val="Hyperlink"/>
            <w:rFonts w:ascii="Arial" w:hAnsi="Arial" w:cs="Arial"/>
            <w:sz w:val="20"/>
            <w:szCs w:val="20"/>
          </w:rPr>
          <w:t>SB 534</w:t>
        </w:r>
      </w:hyperlink>
    </w:p>
    <w:p w14:paraId="355FE175" w14:textId="3563EB51" w:rsidR="00BF0A3A" w:rsidRPr="008C1192" w:rsidRDefault="00BF0A3A" w:rsidP="00C8031E">
      <w:pPr>
        <w:jc w:val="left"/>
        <w:rPr>
          <w:rFonts w:ascii="Arial" w:hAnsi="Arial" w:cs="Arial"/>
          <w:sz w:val="20"/>
          <w:szCs w:val="20"/>
        </w:rPr>
      </w:pPr>
      <w:r w:rsidRPr="008C1192">
        <w:rPr>
          <w:rFonts w:ascii="Arial" w:hAnsi="Arial" w:cs="Arial"/>
          <w:sz w:val="20"/>
          <w:szCs w:val="20"/>
        </w:rPr>
        <w:t>Summary</w:t>
      </w:r>
    </w:p>
    <w:p w14:paraId="55474DBA" w14:textId="59CC764B" w:rsidR="00BF0A3A" w:rsidRPr="008C1192" w:rsidRDefault="0018058E" w:rsidP="00C8031E">
      <w:pPr>
        <w:jc w:val="left"/>
        <w:rPr>
          <w:rFonts w:ascii="Arial" w:eastAsia="Palatino Linotype" w:hAnsi="Arial" w:cs="Arial"/>
          <w:color w:val="000000"/>
          <w:sz w:val="20"/>
          <w:szCs w:val="20"/>
        </w:rPr>
      </w:pPr>
      <w:r w:rsidRPr="008C1192">
        <w:rPr>
          <w:rFonts w:ascii="Arial" w:eastAsia="Palatino Linotype" w:hAnsi="Arial" w:cs="Arial"/>
          <w:color w:val="000000"/>
          <w:sz w:val="20"/>
          <w:szCs w:val="20"/>
        </w:rPr>
        <w:t>Requires city to allow single-family dwellings in residential lots platted and zoned for such uses.</w:t>
      </w:r>
    </w:p>
    <w:p w14:paraId="13E2F769" w14:textId="053A3AA9" w:rsidR="0018058E" w:rsidRPr="008C1192" w:rsidRDefault="0018058E" w:rsidP="00C8031E">
      <w:pPr>
        <w:jc w:val="left"/>
        <w:rPr>
          <w:rFonts w:ascii="Arial" w:hAnsi="Arial" w:cs="Arial"/>
          <w:sz w:val="20"/>
          <w:szCs w:val="20"/>
        </w:rPr>
      </w:pPr>
    </w:p>
    <w:p w14:paraId="25E90BC2" w14:textId="48C681E5" w:rsidR="0018058E" w:rsidRPr="008C1192" w:rsidRDefault="0018058E" w:rsidP="00C8031E">
      <w:pPr>
        <w:jc w:val="left"/>
        <w:rPr>
          <w:rFonts w:ascii="Arial" w:hAnsi="Arial" w:cs="Arial"/>
          <w:sz w:val="20"/>
          <w:szCs w:val="20"/>
        </w:rPr>
      </w:pPr>
      <w:r w:rsidRPr="008C1192">
        <w:rPr>
          <w:rFonts w:ascii="Arial" w:hAnsi="Arial" w:cs="Arial"/>
          <w:sz w:val="20"/>
          <w:szCs w:val="20"/>
        </w:rPr>
        <w:t>Status</w:t>
      </w:r>
    </w:p>
    <w:p w14:paraId="0271FFDE" w14:textId="5D006BEE" w:rsidR="0018058E" w:rsidRPr="008C1192" w:rsidRDefault="0018058E" w:rsidP="00C8031E">
      <w:pPr>
        <w:jc w:val="left"/>
        <w:rPr>
          <w:rFonts w:ascii="Arial" w:hAnsi="Arial" w:cs="Arial"/>
          <w:sz w:val="20"/>
          <w:szCs w:val="20"/>
        </w:rPr>
      </w:pPr>
      <w:r w:rsidRPr="008C1192">
        <w:rPr>
          <w:rFonts w:ascii="Arial" w:hAnsi="Arial" w:cs="Arial"/>
          <w:sz w:val="20"/>
          <w:szCs w:val="20"/>
        </w:rPr>
        <w:t>A public hearing was held in the Senate Housing Committee on March 11.  (This is the same as HB 3019 and is more likely to be the vehicle to move.)</w:t>
      </w:r>
    </w:p>
    <w:p w14:paraId="74396D0A" w14:textId="5A1901D5" w:rsidR="009D1297" w:rsidRPr="008C1192" w:rsidRDefault="009D1297" w:rsidP="00C8031E">
      <w:pPr>
        <w:jc w:val="left"/>
        <w:rPr>
          <w:rFonts w:ascii="Arial" w:hAnsi="Arial" w:cs="Arial"/>
          <w:sz w:val="20"/>
          <w:szCs w:val="20"/>
        </w:rPr>
      </w:pPr>
    </w:p>
    <w:p w14:paraId="0C68231F" w14:textId="75A47D10" w:rsidR="009D1297" w:rsidRPr="008C1192" w:rsidRDefault="00A14360" w:rsidP="00C8031E">
      <w:pPr>
        <w:jc w:val="left"/>
        <w:rPr>
          <w:rFonts w:ascii="Arial" w:hAnsi="Arial" w:cs="Arial"/>
          <w:sz w:val="20"/>
          <w:szCs w:val="20"/>
        </w:rPr>
      </w:pPr>
      <w:hyperlink r:id="rId27" w:history="1">
        <w:r w:rsidR="009D1297" w:rsidRPr="008C1192">
          <w:rPr>
            <w:rStyle w:val="Hyperlink"/>
            <w:rFonts w:ascii="Arial" w:hAnsi="Arial" w:cs="Arial"/>
            <w:sz w:val="20"/>
            <w:szCs w:val="20"/>
          </w:rPr>
          <w:t>SB 608</w:t>
        </w:r>
      </w:hyperlink>
    </w:p>
    <w:p w14:paraId="6A3A4F37" w14:textId="2B77B681" w:rsidR="009D1297" w:rsidRPr="008C1192" w:rsidRDefault="009D1297" w:rsidP="00C8031E">
      <w:pPr>
        <w:jc w:val="left"/>
        <w:rPr>
          <w:rFonts w:ascii="Arial" w:hAnsi="Arial" w:cs="Arial"/>
          <w:sz w:val="20"/>
          <w:szCs w:val="20"/>
        </w:rPr>
      </w:pPr>
      <w:r w:rsidRPr="008C1192">
        <w:rPr>
          <w:rFonts w:ascii="Arial" w:hAnsi="Arial" w:cs="Arial"/>
          <w:sz w:val="20"/>
          <w:szCs w:val="20"/>
        </w:rPr>
        <w:t>Summary</w:t>
      </w:r>
    </w:p>
    <w:p w14:paraId="2AA12AB0" w14:textId="29AAE873" w:rsidR="009D1297" w:rsidRPr="008C1192" w:rsidRDefault="00185D39" w:rsidP="00C8031E">
      <w:pPr>
        <w:jc w:val="left"/>
        <w:rPr>
          <w:rFonts w:ascii="Arial" w:eastAsia="Palatino Linotype" w:hAnsi="Arial" w:cs="Arial"/>
          <w:color w:val="000000"/>
          <w:sz w:val="20"/>
          <w:szCs w:val="20"/>
        </w:rPr>
      </w:pPr>
      <w:r w:rsidRPr="008C1192">
        <w:rPr>
          <w:rFonts w:ascii="Arial" w:eastAsia="Palatino Linotype" w:hAnsi="Arial" w:cs="Arial"/>
          <w:color w:val="000000"/>
          <w:sz w:val="20"/>
          <w:szCs w:val="20"/>
        </w:rPr>
        <w:t>Prohibits landlord from terminating month-to-month tenancy without cause after 12 months of occupancy. Provides exception for certain tenancies on building or lot used by landlord as residence. Allows landlord to terminate tenancy with 90 days' written notice and payment of one month's rent under certain conditions. Exempts landlord managing four or fewer units from payment of one month's rent. Provides that fixed term tenancy becomes month-to-month tenancy upon ending date if not renewed or terminated. Allows landlord to not renew fixed term tenancy if</w:t>
      </w:r>
      <w:r w:rsidR="00A53294" w:rsidRPr="008C1192">
        <w:rPr>
          <w:rFonts w:ascii="Arial" w:eastAsia="Palatino Linotype" w:hAnsi="Arial" w:cs="Arial"/>
          <w:color w:val="000000"/>
          <w:sz w:val="20"/>
          <w:szCs w:val="20"/>
        </w:rPr>
        <w:t xml:space="preserve"> </w:t>
      </w:r>
      <w:r w:rsidR="00A53294" w:rsidRPr="008C1192">
        <w:rPr>
          <w:rFonts w:ascii="Arial" w:eastAsia="Palatino Linotype" w:hAnsi="Arial" w:cs="Arial"/>
          <w:color w:val="000000"/>
          <w:sz w:val="20"/>
          <w:szCs w:val="20"/>
        </w:rPr>
        <w:t>tenant receives three lease violation warnings within 12 months during term and landlord gives 90 days' notice. Limits rent increases for residential tenancies to one per year. Limits maximum annual rent increase to seven percent above annual change in consumer price index. Requires Oregon Department of Administrative Services to publish maximum annual rent increase percentage. Declares emergency, effective on passage.</w:t>
      </w:r>
    </w:p>
    <w:p w14:paraId="1CA45680" w14:textId="6797345B" w:rsidR="00A53294" w:rsidRPr="008C1192" w:rsidRDefault="00A53294" w:rsidP="00C8031E">
      <w:pPr>
        <w:jc w:val="left"/>
        <w:rPr>
          <w:rFonts w:ascii="Arial" w:hAnsi="Arial" w:cs="Arial"/>
          <w:sz w:val="20"/>
          <w:szCs w:val="20"/>
        </w:rPr>
      </w:pPr>
    </w:p>
    <w:p w14:paraId="2EC06851" w14:textId="340AACD3" w:rsidR="00A53294" w:rsidRPr="008C1192" w:rsidRDefault="00A53294" w:rsidP="00C8031E">
      <w:pPr>
        <w:jc w:val="left"/>
        <w:rPr>
          <w:rFonts w:ascii="Arial" w:hAnsi="Arial" w:cs="Arial"/>
          <w:sz w:val="20"/>
          <w:szCs w:val="20"/>
        </w:rPr>
      </w:pPr>
      <w:r w:rsidRPr="008C1192">
        <w:rPr>
          <w:rFonts w:ascii="Arial" w:hAnsi="Arial" w:cs="Arial"/>
          <w:sz w:val="20"/>
          <w:szCs w:val="20"/>
        </w:rPr>
        <w:t>Status</w:t>
      </w:r>
    </w:p>
    <w:p w14:paraId="1894E249" w14:textId="1DCD0F7C" w:rsidR="00A53294" w:rsidRPr="008C1192" w:rsidRDefault="00A53294" w:rsidP="00C8031E">
      <w:pPr>
        <w:jc w:val="left"/>
        <w:rPr>
          <w:rFonts w:ascii="Arial" w:hAnsi="Arial" w:cs="Arial"/>
          <w:sz w:val="20"/>
          <w:szCs w:val="20"/>
        </w:rPr>
      </w:pPr>
      <w:r w:rsidRPr="008C1192">
        <w:rPr>
          <w:rFonts w:ascii="Arial" w:hAnsi="Arial" w:cs="Arial"/>
          <w:sz w:val="20"/>
          <w:szCs w:val="20"/>
        </w:rPr>
        <w:t>Signed by Governor on February 28, 2019.  Bill is now in effect.</w:t>
      </w:r>
    </w:p>
    <w:p w14:paraId="5ED7C988" w14:textId="175B5D2C" w:rsidR="009809E4" w:rsidRPr="008C1192" w:rsidRDefault="009809E4" w:rsidP="00C8031E">
      <w:pPr>
        <w:jc w:val="left"/>
        <w:rPr>
          <w:rFonts w:ascii="Arial" w:hAnsi="Arial" w:cs="Arial"/>
          <w:sz w:val="20"/>
          <w:szCs w:val="20"/>
        </w:rPr>
      </w:pPr>
    </w:p>
    <w:p w14:paraId="271210A4" w14:textId="69532AB3" w:rsidR="009809E4" w:rsidRPr="008C1192" w:rsidRDefault="00802660" w:rsidP="00C8031E">
      <w:pPr>
        <w:jc w:val="left"/>
        <w:rPr>
          <w:rFonts w:ascii="Arial" w:hAnsi="Arial" w:cs="Arial"/>
          <w:sz w:val="20"/>
          <w:szCs w:val="20"/>
        </w:rPr>
      </w:pPr>
      <w:hyperlink r:id="rId28" w:history="1">
        <w:r w:rsidR="009809E4" w:rsidRPr="008C1192">
          <w:rPr>
            <w:rStyle w:val="Hyperlink"/>
            <w:rFonts w:ascii="Arial" w:hAnsi="Arial" w:cs="Arial"/>
            <w:sz w:val="20"/>
            <w:szCs w:val="20"/>
          </w:rPr>
          <w:t>SB 621</w:t>
        </w:r>
      </w:hyperlink>
    </w:p>
    <w:p w14:paraId="68EB1854" w14:textId="5D236D08" w:rsidR="009809E4" w:rsidRPr="008C1192" w:rsidRDefault="009809E4" w:rsidP="00C8031E">
      <w:pPr>
        <w:jc w:val="left"/>
        <w:rPr>
          <w:rFonts w:ascii="Arial" w:hAnsi="Arial" w:cs="Arial"/>
          <w:sz w:val="20"/>
          <w:szCs w:val="20"/>
        </w:rPr>
      </w:pPr>
      <w:r w:rsidRPr="008C1192">
        <w:rPr>
          <w:rFonts w:ascii="Arial" w:hAnsi="Arial" w:cs="Arial"/>
          <w:sz w:val="20"/>
          <w:szCs w:val="20"/>
        </w:rPr>
        <w:t>Summary</w:t>
      </w:r>
    </w:p>
    <w:p w14:paraId="331AA406" w14:textId="17A1186D" w:rsidR="009809E4" w:rsidRPr="008C1192" w:rsidRDefault="0050576D" w:rsidP="00C8031E">
      <w:pPr>
        <w:jc w:val="left"/>
        <w:rPr>
          <w:rFonts w:ascii="Arial" w:eastAsia="Palatino Linotype" w:hAnsi="Arial" w:cs="Arial"/>
          <w:color w:val="000000"/>
          <w:sz w:val="20"/>
          <w:szCs w:val="20"/>
        </w:rPr>
      </w:pPr>
      <w:r w:rsidRPr="008C1192">
        <w:rPr>
          <w:rFonts w:ascii="Arial" w:eastAsia="Palatino Linotype" w:hAnsi="Arial" w:cs="Arial"/>
          <w:color w:val="000000"/>
          <w:sz w:val="20"/>
          <w:szCs w:val="20"/>
        </w:rPr>
        <w:t>Prohibits local governments from restricting use of lawful dwellings for vacation occupancy.</w:t>
      </w:r>
    </w:p>
    <w:p w14:paraId="1A32CA71" w14:textId="298D1769" w:rsidR="0050576D" w:rsidRPr="008C1192" w:rsidRDefault="0050576D" w:rsidP="00C8031E">
      <w:pPr>
        <w:jc w:val="left"/>
        <w:rPr>
          <w:rFonts w:ascii="Arial" w:hAnsi="Arial" w:cs="Arial"/>
          <w:sz w:val="20"/>
          <w:szCs w:val="20"/>
        </w:rPr>
      </w:pPr>
    </w:p>
    <w:p w14:paraId="24C7E020" w14:textId="72EDBA60" w:rsidR="0050576D" w:rsidRPr="008C1192" w:rsidRDefault="0050576D" w:rsidP="00C8031E">
      <w:pPr>
        <w:jc w:val="left"/>
        <w:rPr>
          <w:rFonts w:ascii="Arial" w:hAnsi="Arial" w:cs="Arial"/>
          <w:sz w:val="20"/>
          <w:szCs w:val="20"/>
        </w:rPr>
      </w:pPr>
      <w:r w:rsidRPr="008C1192">
        <w:rPr>
          <w:rFonts w:ascii="Arial" w:hAnsi="Arial" w:cs="Arial"/>
          <w:sz w:val="20"/>
          <w:szCs w:val="20"/>
        </w:rPr>
        <w:t>Status</w:t>
      </w:r>
    </w:p>
    <w:p w14:paraId="2513FA66" w14:textId="3699F250" w:rsidR="0050576D" w:rsidRPr="008C1192" w:rsidRDefault="0050576D" w:rsidP="00C8031E">
      <w:pPr>
        <w:jc w:val="left"/>
        <w:rPr>
          <w:rFonts w:ascii="Arial" w:hAnsi="Arial" w:cs="Arial"/>
          <w:sz w:val="20"/>
          <w:szCs w:val="20"/>
        </w:rPr>
      </w:pPr>
      <w:r w:rsidRPr="008C1192">
        <w:rPr>
          <w:rFonts w:ascii="Arial" w:hAnsi="Arial" w:cs="Arial"/>
          <w:sz w:val="20"/>
          <w:szCs w:val="20"/>
        </w:rPr>
        <w:t>A public hearing was held in the Senate Housing Committee on March 5.</w:t>
      </w:r>
    </w:p>
    <w:p w14:paraId="4AF1C65F" w14:textId="38540626" w:rsidR="00802660" w:rsidRPr="008C1192" w:rsidRDefault="00802660" w:rsidP="00C8031E">
      <w:pPr>
        <w:jc w:val="left"/>
        <w:rPr>
          <w:rFonts w:ascii="Arial" w:hAnsi="Arial" w:cs="Arial"/>
          <w:sz w:val="20"/>
          <w:szCs w:val="20"/>
        </w:rPr>
      </w:pPr>
    </w:p>
    <w:p w14:paraId="2D270D42" w14:textId="77777777" w:rsidR="008C1192" w:rsidRDefault="008C1192">
      <w:pPr>
        <w:spacing w:after="200"/>
        <w:jc w:val="left"/>
        <w:rPr>
          <w:rFonts w:ascii="Arial" w:hAnsi="Arial" w:cs="Arial"/>
          <w:sz w:val="20"/>
          <w:szCs w:val="20"/>
        </w:rPr>
      </w:pPr>
      <w:r>
        <w:rPr>
          <w:rFonts w:ascii="Arial" w:hAnsi="Arial" w:cs="Arial"/>
          <w:sz w:val="20"/>
          <w:szCs w:val="20"/>
        </w:rPr>
        <w:br w:type="page"/>
      </w:r>
    </w:p>
    <w:bookmarkStart w:id="0" w:name="_GoBack"/>
    <w:bookmarkEnd w:id="0"/>
    <w:p w14:paraId="0A7CBF44" w14:textId="25684B8C" w:rsidR="00802660" w:rsidRPr="008C1192" w:rsidRDefault="00426803" w:rsidP="00C8031E">
      <w:pPr>
        <w:jc w:val="left"/>
        <w:rPr>
          <w:rFonts w:ascii="Arial" w:hAnsi="Arial" w:cs="Arial"/>
          <w:sz w:val="20"/>
          <w:szCs w:val="20"/>
        </w:rPr>
      </w:pPr>
      <w:r w:rsidRPr="008C1192">
        <w:rPr>
          <w:rFonts w:ascii="Arial" w:hAnsi="Arial" w:cs="Arial"/>
          <w:sz w:val="20"/>
          <w:szCs w:val="20"/>
        </w:rPr>
        <w:lastRenderedPageBreak/>
        <w:fldChar w:fldCharType="begin"/>
      </w:r>
      <w:r w:rsidRPr="008C1192">
        <w:rPr>
          <w:rFonts w:ascii="Arial" w:hAnsi="Arial" w:cs="Arial"/>
          <w:sz w:val="20"/>
          <w:szCs w:val="20"/>
        </w:rPr>
        <w:instrText xml:space="preserve"> HYPERLINK "https://olis.leg.state.or.us/liz/2019R1/Measures/Overview/SB927" </w:instrText>
      </w:r>
      <w:r w:rsidRPr="008C1192">
        <w:rPr>
          <w:rFonts w:ascii="Arial" w:hAnsi="Arial" w:cs="Arial"/>
          <w:sz w:val="20"/>
          <w:szCs w:val="20"/>
        </w:rPr>
      </w:r>
      <w:r w:rsidRPr="008C1192">
        <w:rPr>
          <w:rFonts w:ascii="Arial" w:hAnsi="Arial" w:cs="Arial"/>
          <w:sz w:val="20"/>
          <w:szCs w:val="20"/>
        </w:rPr>
        <w:fldChar w:fldCharType="separate"/>
      </w:r>
      <w:r w:rsidR="00471EE3" w:rsidRPr="008C1192">
        <w:rPr>
          <w:rStyle w:val="Hyperlink"/>
          <w:rFonts w:ascii="Arial" w:hAnsi="Arial" w:cs="Arial"/>
          <w:sz w:val="20"/>
          <w:szCs w:val="20"/>
        </w:rPr>
        <w:t>SB 927</w:t>
      </w:r>
      <w:r w:rsidRPr="008C1192">
        <w:rPr>
          <w:rFonts w:ascii="Arial" w:hAnsi="Arial" w:cs="Arial"/>
          <w:sz w:val="20"/>
          <w:szCs w:val="20"/>
        </w:rPr>
        <w:fldChar w:fldCharType="end"/>
      </w:r>
    </w:p>
    <w:p w14:paraId="47D854F7" w14:textId="7C059011" w:rsidR="00471EE3" w:rsidRPr="008C1192" w:rsidRDefault="00471EE3" w:rsidP="00C8031E">
      <w:pPr>
        <w:jc w:val="left"/>
        <w:rPr>
          <w:rFonts w:ascii="Arial" w:hAnsi="Arial" w:cs="Arial"/>
          <w:sz w:val="20"/>
          <w:szCs w:val="20"/>
        </w:rPr>
      </w:pPr>
      <w:r w:rsidRPr="008C1192">
        <w:rPr>
          <w:rFonts w:ascii="Arial" w:hAnsi="Arial" w:cs="Arial"/>
          <w:sz w:val="20"/>
          <w:szCs w:val="20"/>
        </w:rPr>
        <w:t>Summary</w:t>
      </w:r>
    </w:p>
    <w:p w14:paraId="7C74DFF9" w14:textId="0B1935A3" w:rsidR="00471EE3" w:rsidRPr="008C1192" w:rsidRDefault="008F5E13" w:rsidP="00C8031E">
      <w:pPr>
        <w:jc w:val="left"/>
        <w:rPr>
          <w:rFonts w:ascii="Arial" w:eastAsia="Palatino Linotype" w:hAnsi="Arial" w:cs="Arial"/>
          <w:color w:val="000000"/>
          <w:sz w:val="20"/>
          <w:szCs w:val="20"/>
        </w:rPr>
      </w:pPr>
      <w:r w:rsidRPr="008C1192">
        <w:rPr>
          <w:rFonts w:ascii="Arial" w:eastAsia="Palatino Linotype" w:hAnsi="Arial" w:cs="Arial"/>
          <w:color w:val="000000"/>
          <w:sz w:val="20"/>
          <w:szCs w:val="20"/>
        </w:rPr>
        <w:t>Allows local governments to develop historic resource program to designate resources for protection. Removes requirement for owner consent to designate resources. Establishes minimum components for program. Requires additional action by local government to designate resources designated on National Register of Historic Places on or after effective date of Act. Requires that existing protections be maintained. Appropriates moneys from General Fund to Land Conservation and Development Commission to provide grants or technical assistance to local governments in developing and implementing program.</w:t>
      </w:r>
    </w:p>
    <w:p w14:paraId="612B53FA" w14:textId="56418CA3" w:rsidR="008F5E13" w:rsidRPr="008C1192" w:rsidRDefault="008F5E13" w:rsidP="00C8031E">
      <w:pPr>
        <w:jc w:val="left"/>
        <w:rPr>
          <w:rFonts w:ascii="Arial" w:hAnsi="Arial" w:cs="Arial"/>
          <w:sz w:val="20"/>
          <w:szCs w:val="20"/>
        </w:rPr>
      </w:pPr>
    </w:p>
    <w:p w14:paraId="2BBD3BDB" w14:textId="1D9423E0" w:rsidR="008F5E13" w:rsidRPr="008C1192" w:rsidRDefault="008F5E13" w:rsidP="00C8031E">
      <w:pPr>
        <w:jc w:val="left"/>
        <w:rPr>
          <w:rFonts w:ascii="Arial" w:hAnsi="Arial" w:cs="Arial"/>
          <w:sz w:val="20"/>
          <w:szCs w:val="20"/>
        </w:rPr>
      </w:pPr>
      <w:r w:rsidRPr="008C1192">
        <w:rPr>
          <w:rFonts w:ascii="Arial" w:hAnsi="Arial" w:cs="Arial"/>
          <w:sz w:val="20"/>
          <w:szCs w:val="20"/>
        </w:rPr>
        <w:t>Status</w:t>
      </w:r>
    </w:p>
    <w:p w14:paraId="57310A9C" w14:textId="46D2AFD5" w:rsidR="008F5E13" w:rsidRPr="008C1192" w:rsidRDefault="008F5E13" w:rsidP="00C8031E">
      <w:pPr>
        <w:jc w:val="left"/>
        <w:rPr>
          <w:rFonts w:ascii="Arial" w:hAnsi="Arial" w:cs="Arial"/>
          <w:sz w:val="20"/>
          <w:szCs w:val="20"/>
        </w:rPr>
      </w:pPr>
      <w:r w:rsidRPr="008C1192">
        <w:rPr>
          <w:rFonts w:ascii="Arial" w:hAnsi="Arial" w:cs="Arial"/>
          <w:sz w:val="20"/>
          <w:szCs w:val="20"/>
        </w:rPr>
        <w:t>A public hearing is schedule in the Senate Environment and Natural Resources Committee on March 26.</w:t>
      </w:r>
    </w:p>
    <w:sectPr w:rsidR="008F5E13" w:rsidRPr="008C1192" w:rsidSect="00291249">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354D9" w14:textId="77777777" w:rsidR="00D80C7E" w:rsidRDefault="00D80C7E" w:rsidP="00764EF4">
      <w:pPr>
        <w:spacing w:line="240" w:lineRule="auto"/>
      </w:pPr>
      <w:r>
        <w:separator/>
      </w:r>
    </w:p>
  </w:endnote>
  <w:endnote w:type="continuationSeparator" w:id="0">
    <w:p w14:paraId="388C4663" w14:textId="77777777" w:rsidR="00D80C7E" w:rsidRDefault="00D80C7E" w:rsidP="00764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9501" w14:textId="77777777" w:rsidR="00C8031E" w:rsidRDefault="00C80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710589"/>
      <w:docPartObj>
        <w:docPartGallery w:val="Page Numbers (Bottom of Page)"/>
        <w:docPartUnique/>
      </w:docPartObj>
    </w:sdtPr>
    <w:sdtEndPr>
      <w:rPr>
        <w:color w:val="7F7F7F" w:themeColor="background1" w:themeShade="7F"/>
        <w:spacing w:val="60"/>
      </w:rPr>
    </w:sdtEndPr>
    <w:sdtContent>
      <w:p w14:paraId="74B43F8F" w14:textId="48A62ED8" w:rsidR="00764EF4" w:rsidRDefault="00764EF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A4AF970" w14:textId="77777777" w:rsidR="00764EF4" w:rsidRDefault="00764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FD82" w14:textId="77777777" w:rsidR="00C8031E" w:rsidRDefault="00C80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60C1B" w14:textId="77777777" w:rsidR="00D80C7E" w:rsidRDefault="00D80C7E" w:rsidP="00764EF4">
      <w:pPr>
        <w:spacing w:line="240" w:lineRule="auto"/>
      </w:pPr>
      <w:r>
        <w:separator/>
      </w:r>
    </w:p>
  </w:footnote>
  <w:footnote w:type="continuationSeparator" w:id="0">
    <w:p w14:paraId="0ABA0050" w14:textId="77777777" w:rsidR="00D80C7E" w:rsidRDefault="00D80C7E" w:rsidP="00764E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AF58D" w14:textId="77777777" w:rsidR="00C8031E" w:rsidRDefault="00C80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166D0" w14:textId="0CF94165" w:rsidR="003F75E7" w:rsidRDefault="003F75E7" w:rsidP="00DF19E9">
    <w:pPr>
      <w:pStyle w:val="NormalWeb"/>
      <w:spacing w:before="0" w:beforeAutospacing="0" w:after="0" w:afterAutospacing="0"/>
      <w:jc w:val="center"/>
      <w:outlineLvl w:val="0"/>
      <w:rPr>
        <w:rFonts w:ascii="Calibri" w:hAnsi="Calibri"/>
        <w:noProof/>
        <w:sz w:val="34"/>
        <w:szCs w:val="34"/>
      </w:rPr>
    </w:pPr>
    <w:r>
      <w:rPr>
        <w:rFonts w:ascii="Calibri" w:hAnsi="Calibri"/>
        <w:noProof/>
        <w:sz w:val="34"/>
        <w:szCs w:val="34"/>
      </w:rPr>
      <w:drawing>
        <wp:anchor distT="0" distB="0" distL="114300" distR="114300" simplePos="0" relativeHeight="251664384" behindDoc="1" locked="0" layoutInCell="1" allowOverlap="1" wp14:anchorId="20D6FD40" wp14:editId="7ADE7A26">
          <wp:simplePos x="0" y="0"/>
          <wp:positionH relativeFrom="column">
            <wp:posOffset>-419418</wp:posOffset>
          </wp:positionH>
          <wp:positionV relativeFrom="paragraph">
            <wp:posOffset>5765</wp:posOffset>
          </wp:positionV>
          <wp:extent cx="1315147" cy="1057275"/>
          <wp:effectExtent l="0" t="0" r="0" b="0"/>
          <wp:wrapNone/>
          <wp:docPr id="22" name="Picture 2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CPDA Color logo 11-10.jpg"/>
                  <pic:cNvPicPr/>
                </pic:nvPicPr>
                <pic:blipFill>
                  <a:blip r:embed="rId1">
                    <a:extLst>
                      <a:ext uri="{28A0092B-C50C-407E-A947-70E740481C1C}">
                        <a14:useLocalDpi xmlns:a14="http://schemas.microsoft.com/office/drawing/2010/main" val="0"/>
                      </a:ext>
                    </a:extLst>
                  </a:blip>
                  <a:stretch>
                    <a:fillRect/>
                  </a:stretch>
                </pic:blipFill>
                <pic:spPr>
                  <a:xfrm>
                    <a:off x="0" y="0"/>
                    <a:ext cx="1315147" cy="1057275"/>
                  </a:xfrm>
                  <a:prstGeom prst="rect">
                    <a:avLst/>
                  </a:prstGeom>
                </pic:spPr>
              </pic:pic>
            </a:graphicData>
          </a:graphic>
        </wp:anchor>
      </w:drawing>
    </w:r>
  </w:p>
  <w:p w14:paraId="5CE4A4CB" w14:textId="3C346B24" w:rsidR="003F75E7" w:rsidRDefault="003F75E7" w:rsidP="00DF19E9">
    <w:pPr>
      <w:pStyle w:val="NormalWeb"/>
      <w:spacing w:before="0" w:beforeAutospacing="0" w:after="0" w:afterAutospacing="0"/>
      <w:jc w:val="center"/>
      <w:outlineLvl w:val="0"/>
      <w:rPr>
        <w:b/>
        <w:noProof/>
        <w:sz w:val="28"/>
        <w:szCs w:val="28"/>
      </w:rPr>
    </w:pPr>
  </w:p>
  <w:p w14:paraId="03412CA9" w14:textId="77777777" w:rsidR="003F75E7" w:rsidRDefault="003F75E7" w:rsidP="00DF19E9">
    <w:pPr>
      <w:pStyle w:val="NormalWeb"/>
      <w:spacing w:before="0" w:beforeAutospacing="0" w:after="0" w:afterAutospacing="0"/>
      <w:jc w:val="center"/>
      <w:outlineLvl w:val="0"/>
      <w:rPr>
        <w:b/>
        <w:noProof/>
        <w:sz w:val="28"/>
        <w:szCs w:val="28"/>
      </w:rPr>
    </w:pPr>
  </w:p>
  <w:p w14:paraId="57950DA1" w14:textId="62F28586" w:rsidR="00DF19E9" w:rsidRPr="00086F1F" w:rsidRDefault="00DF19E9" w:rsidP="00DF19E9">
    <w:pPr>
      <w:pStyle w:val="NormalWeb"/>
      <w:spacing w:before="0" w:beforeAutospacing="0" w:after="0" w:afterAutospacing="0"/>
      <w:jc w:val="center"/>
      <w:outlineLvl w:val="0"/>
      <w:rPr>
        <w:b/>
        <w:noProof/>
        <w:sz w:val="28"/>
        <w:szCs w:val="28"/>
      </w:rPr>
    </w:pPr>
    <w:r>
      <w:rPr>
        <w:noProof/>
      </w:rPr>
      <w:drawing>
        <wp:anchor distT="36576" distB="36576" distL="36576" distR="36576" simplePos="0" relativeHeight="251659264" behindDoc="0" locked="0" layoutInCell="1" allowOverlap="1" wp14:anchorId="091A927C" wp14:editId="5B724423">
          <wp:simplePos x="0" y="0"/>
          <wp:positionH relativeFrom="column">
            <wp:posOffset>7029450</wp:posOffset>
          </wp:positionH>
          <wp:positionV relativeFrom="paragraph">
            <wp:posOffset>612775</wp:posOffset>
          </wp:positionV>
          <wp:extent cx="2114550" cy="1532255"/>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2114550" cy="1532255"/>
                  </a:xfrm>
                  <a:prstGeom prst="rect">
                    <a:avLst/>
                  </a:prstGeom>
                  <a:noFill/>
                  <a:ln w="9525" algn="in">
                    <a:noFill/>
                    <a:miter lim="800000"/>
                    <a:headEnd/>
                    <a:tailEnd/>
                  </a:ln>
                  <a:effectLst/>
                </pic:spPr>
              </pic:pic>
            </a:graphicData>
          </a:graphic>
        </wp:anchor>
      </w:drawing>
    </w:r>
    <w:r>
      <w:rPr>
        <w:noProof/>
      </w:rPr>
      <w:drawing>
        <wp:anchor distT="36576" distB="36576" distL="36576" distR="36576" simplePos="0" relativeHeight="251660288" behindDoc="0" locked="0" layoutInCell="1" allowOverlap="1" wp14:anchorId="49ACC92F" wp14:editId="04AEDB15">
          <wp:simplePos x="0" y="0"/>
          <wp:positionH relativeFrom="column">
            <wp:posOffset>7029450</wp:posOffset>
          </wp:positionH>
          <wp:positionV relativeFrom="paragraph">
            <wp:posOffset>612775</wp:posOffset>
          </wp:positionV>
          <wp:extent cx="2114550" cy="153225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2114550" cy="1532255"/>
                  </a:xfrm>
                  <a:prstGeom prst="rect">
                    <a:avLst/>
                  </a:prstGeom>
                  <a:noFill/>
                  <a:ln w="9525" algn="in">
                    <a:noFill/>
                    <a:miter lim="800000"/>
                    <a:headEnd/>
                    <a:tailEnd/>
                  </a:ln>
                  <a:effectLst/>
                </pic:spPr>
              </pic:pic>
            </a:graphicData>
          </a:graphic>
        </wp:anchor>
      </w:drawing>
    </w:r>
    <w:r w:rsidRPr="00086F1F">
      <w:rPr>
        <w:b/>
        <w:noProof/>
        <w:sz w:val="28"/>
        <w:szCs w:val="28"/>
      </w:rPr>
      <w:drawing>
        <wp:anchor distT="36576" distB="36576" distL="36576" distR="36576" simplePos="0" relativeHeight="251661312" behindDoc="0" locked="0" layoutInCell="1" allowOverlap="1" wp14:anchorId="43176149" wp14:editId="72FC113F">
          <wp:simplePos x="0" y="0"/>
          <wp:positionH relativeFrom="column">
            <wp:posOffset>7029450</wp:posOffset>
          </wp:positionH>
          <wp:positionV relativeFrom="paragraph">
            <wp:posOffset>612775</wp:posOffset>
          </wp:positionV>
          <wp:extent cx="2114550" cy="1532255"/>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2114550" cy="1532255"/>
                  </a:xfrm>
                  <a:prstGeom prst="rect">
                    <a:avLst/>
                  </a:prstGeom>
                  <a:noFill/>
                  <a:ln w="9525" algn="in">
                    <a:noFill/>
                    <a:miter lim="800000"/>
                    <a:headEnd/>
                    <a:tailEnd/>
                  </a:ln>
                  <a:effectLst/>
                </pic:spPr>
              </pic:pic>
            </a:graphicData>
          </a:graphic>
        </wp:anchor>
      </w:drawing>
    </w:r>
    <w:r w:rsidRPr="00086F1F">
      <w:rPr>
        <w:b/>
        <w:noProof/>
        <w:sz w:val="28"/>
        <w:szCs w:val="28"/>
      </w:rPr>
      <w:drawing>
        <wp:anchor distT="36576" distB="36576" distL="36576" distR="36576" simplePos="0" relativeHeight="251662336" behindDoc="0" locked="0" layoutInCell="1" allowOverlap="1" wp14:anchorId="4B2E9506" wp14:editId="5517D9D3">
          <wp:simplePos x="0" y="0"/>
          <wp:positionH relativeFrom="column">
            <wp:posOffset>7029450</wp:posOffset>
          </wp:positionH>
          <wp:positionV relativeFrom="paragraph">
            <wp:posOffset>612775</wp:posOffset>
          </wp:positionV>
          <wp:extent cx="2114550" cy="1532255"/>
          <wp:effectExtent l="1905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srcRect/>
                  <a:stretch>
                    <a:fillRect/>
                  </a:stretch>
                </pic:blipFill>
                <pic:spPr bwMode="auto">
                  <a:xfrm>
                    <a:off x="0" y="0"/>
                    <a:ext cx="2114550" cy="1532255"/>
                  </a:xfrm>
                  <a:prstGeom prst="rect">
                    <a:avLst/>
                  </a:prstGeom>
                  <a:noFill/>
                  <a:ln w="9525" algn="in">
                    <a:noFill/>
                    <a:miter lim="800000"/>
                    <a:headEnd/>
                    <a:tailEnd/>
                  </a:ln>
                  <a:effectLst/>
                </pic:spPr>
              </pic:pic>
            </a:graphicData>
          </a:graphic>
        </wp:anchor>
      </w:drawing>
    </w:r>
    <w:r w:rsidRPr="00086F1F">
      <w:rPr>
        <w:b/>
        <w:noProof/>
        <w:sz w:val="28"/>
        <w:szCs w:val="28"/>
      </w:rPr>
      <w:t>Oregon City Planning Directors Association</w:t>
    </w:r>
  </w:p>
  <w:p w14:paraId="0C38B25B" w14:textId="77777777" w:rsidR="00DF19E9" w:rsidRPr="00086F1F" w:rsidRDefault="00DF19E9" w:rsidP="00DF19E9">
    <w:pPr>
      <w:pStyle w:val="NormalWeb"/>
      <w:spacing w:before="0" w:beforeAutospacing="0" w:after="0" w:afterAutospacing="0"/>
      <w:jc w:val="center"/>
      <w:outlineLvl w:val="0"/>
      <w:rPr>
        <w:noProof/>
        <w:sz w:val="20"/>
        <w:szCs w:val="20"/>
      </w:rPr>
    </w:pPr>
    <w:r w:rsidRPr="00086F1F">
      <w:rPr>
        <w:noProof/>
        <w:sz w:val="20"/>
        <w:szCs w:val="20"/>
      </w:rPr>
      <w:t xml:space="preserve">1201 Court Street NE, Salem, OR 97301 </w:t>
    </w:r>
    <w:r w:rsidRPr="00086F1F">
      <w:rPr>
        <w:i/>
        <w:iCs/>
        <w:sz w:val="20"/>
        <w:szCs w:val="20"/>
      </w:rPr>
      <w:t>Ph: (503) 588-6550 ▪ Fax: (503) 399-4863</w:t>
    </w:r>
  </w:p>
  <w:p w14:paraId="761F10DE" w14:textId="77777777" w:rsidR="00DF19E9" w:rsidRDefault="00DF19E9" w:rsidP="00DF19E9">
    <w:pPr>
      <w:pStyle w:val="NormalWeb"/>
      <w:spacing w:before="0" w:beforeAutospacing="0" w:after="0" w:afterAutospacing="0"/>
      <w:rPr>
        <w:noProof/>
      </w:rPr>
    </w:pPr>
    <w:r>
      <w:rPr>
        <w:noProof/>
      </w:rPr>
      <mc:AlternateContent>
        <mc:Choice Requires="wps">
          <w:drawing>
            <wp:anchor distT="0" distB="0" distL="114300" distR="114300" simplePos="0" relativeHeight="251663360" behindDoc="0" locked="0" layoutInCell="1" allowOverlap="1" wp14:anchorId="0F0C5AE8" wp14:editId="6808354B">
              <wp:simplePos x="0" y="0"/>
              <wp:positionH relativeFrom="column">
                <wp:posOffset>-415925</wp:posOffset>
              </wp:positionH>
              <wp:positionV relativeFrom="paragraph">
                <wp:posOffset>40005</wp:posOffset>
              </wp:positionV>
              <wp:extent cx="6565265" cy="12065"/>
              <wp:effectExtent l="12700" t="10160" r="13335" b="635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5265"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F2938" id="_x0000_t32" coordsize="21600,21600" o:spt="32" o:oned="t" path="m,l21600,21600e" filled="f">
              <v:path arrowok="t" fillok="f" o:connecttype="none"/>
              <o:lock v:ext="edit" shapetype="t"/>
            </v:shapetype>
            <v:shape id="AutoShape 7" o:spid="_x0000_s1026" type="#_x0000_t32" style="position:absolute;margin-left:-32.75pt;margin-top:3.15pt;width:516.95pt;height:.9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DACC" w14:textId="77777777" w:rsidR="00C8031E" w:rsidRDefault="00C80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1F01"/>
    <w:multiLevelType w:val="hybridMultilevel"/>
    <w:tmpl w:val="32FA20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E43FD"/>
    <w:multiLevelType w:val="multilevel"/>
    <w:tmpl w:val="003EC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F57FB"/>
    <w:multiLevelType w:val="hybridMultilevel"/>
    <w:tmpl w:val="23829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C67199"/>
    <w:multiLevelType w:val="multilevel"/>
    <w:tmpl w:val="A056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EA24F8"/>
    <w:multiLevelType w:val="hybridMultilevel"/>
    <w:tmpl w:val="0D1C6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825AF"/>
    <w:multiLevelType w:val="multilevel"/>
    <w:tmpl w:val="B9F0C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02194F"/>
    <w:multiLevelType w:val="hybridMultilevel"/>
    <w:tmpl w:val="B61E0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B57F14"/>
    <w:multiLevelType w:val="multilevel"/>
    <w:tmpl w:val="08B0C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6673E9"/>
    <w:multiLevelType w:val="multilevel"/>
    <w:tmpl w:val="E500B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E431C0"/>
    <w:multiLevelType w:val="multilevel"/>
    <w:tmpl w:val="83A02C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B1F57B0"/>
    <w:multiLevelType w:val="multilevel"/>
    <w:tmpl w:val="93362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E048D9"/>
    <w:multiLevelType w:val="hybridMultilevel"/>
    <w:tmpl w:val="BC2A2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1B1DA1"/>
    <w:multiLevelType w:val="multilevel"/>
    <w:tmpl w:val="BDE6D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9F7049"/>
    <w:multiLevelType w:val="multilevel"/>
    <w:tmpl w:val="06D6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A000E2"/>
    <w:multiLevelType w:val="multilevel"/>
    <w:tmpl w:val="1D48C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E378E9"/>
    <w:multiLevelType w:val="multilevel"/>
    <w:tmpl w:val="B29ED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2D73A1"/>
    <w:multiLevelType w:val="hybridMultilevel"/>
    <w:tmpl w:val="86BC3F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lvlOverride w:ilvl="0">
      <w:startOverride w:val="1"/>
    </w:lvlOverride>
  </w:num>
  <w:num w:numId="2">
    <w:abstractNumId w:val="1"/>
    <w:lvlOverride w:ilvl="0">
      <w:startOverride w:val="2"/>
    </w:lvlOverride>
  </w:num>
  <w:num w:numId="3">
    <w:abstractNumId w:val="12"/>
    <w:lvlOverride w:ilvl="0">
      <w:startOverride w:val="3"/>
    </w:lvlOverride>
  </w:num>
  <w:num w:numId="4">
    <w:abstractNumId w:val="10"/>
    <w:lvlOverride w:ilvl="0">
      <w:startOverride w:val="4"/>
    </w:lvlOverride>
  </w:num>
  <w:num w:numId="5">
    <w:abstractNumId w:val="3"/>
    <w:lvlOverride w:ilvl="0">
      <w:startOverride w:val="5"/>
    </w:lvlOverride>
  </w:num>
  <w:num w:numId="6">
    <w:abstractNumId w:val="9"/>
  </w:num>
  <w:num w:numId="7">
    <w:abstractNumId w:val="14"/>
    <w:lvlOverride w:ilvl="0">
      <w:startOverride w:val="6"/>
    </w:lvlOverride>
  </w:num>
  <w:num w:numId="8">
    <w:abstractNumId w:val="7"/>
    <w:lvlOverride w:ilvl="0">
      <w:startOverride w:val="7"/>
    </w:lvlOverride>
  </w:num>
  <w:num w:numId="9">
    <w:abstractNumId w:val="8"/>
    <w:lvlOverride w:ilvl="0">
      <w:startOverride w:val="8"/>
    </w:lvlOverride>
  </w:num>
  <w:num w:numId="10">
    <w:abstractNumId w:val="15"/>
    <w:lvlOverride w:ilvl="0">
      <w:startOverride w:val="9"/>
    </w:lvlOverride>
  </w:num>
  <w:num w:numId="11">
    <w:abstractNumId w:val="5"/>
    <w:lvlOverride w:ilvl="0">
      <w:lvl w:ilvl="0">
        <w:numFmt w:val="bullet"/>
        <w:lvlText w:val=""/>
        <w:lvlJc w:val="left"/>
        <w:pPr>
          <w:tabs>
            <w:tab w:val="num" w:pos="720"/>
          </w:tabs>
          <w:ind w:left="720" w:hanging="360"/>
        </w:pPr>
        <w:rPr>
          <w:rFonts w:ascii="Symbol" w:hAnsi="Symbol" w:hint="default"/>
          <w:sz w:val="20"/>
        </w:rPr>
      </w:lvl>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0"/>
  </w:num>
  <w:num w:numId="15">
    <w:abstractNumId w:val="6"/>
  </w:num>
  <w:num w:numId="16">
    <w:abstractNumId w:val="4"/>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C3"/>
    <w:rsid w:val="000035DC"/>
    <w:rsid w:val="00011140"/>
    <w:rsid w:val="00032C5E"/>
    <w:rsid w:val="000367C6"/>
    <w:rsid w:val="00042E26"/>
    <w:rsid w:val="000656DD"/>
    <w:rsid w:val="00072F8D"/>
    <w:rsid w:val="00086F1F"/>
    <w:rsid w:val="00097FAA"/>
    <w:rsid w:val="000A2199"/>
    <w:rsid w:val="000B2748"/>
    <w:rsid w:val="000B4506"/>
    <w:rsid w:val="000B637C"/>
    <w:rsid w:val="000D2EAD"/>
    <w:rsid w:val="000E0A5A"/>
    <w:rsid w:val="000F2FAD"/>
    <w:rsid w:val="001056F5"/>
    <w:rsid w:val="00123B61"/>
    <w:rsid w:val="001456C9"/>
    <w:rsid w:val="0018058E"/>
    <w:rsid w:val="00185D39"/>
    <w:rsid w:val="0019759F"/>
    <w:rsid w:val="001B2F84"/>
    <w:rsid w:val="001B62CC"/>
    <w:rsid w:val="001C3044"/>
    <w:rsid w:val="001C4250"/>
    <w:rsid w:val="001D64AA"/>
    <w:rsid w:val="001F1F4E"/>
    <w:rsid w:val="00200FAB"/>
    <w:rsid w:val="002131F5"/>
    <w:rsid w:val="0027015D"/>
    <w:rsid w:val="00284F1A"/>
    <w:rsid w:val="00285823"/>
    <w:rsid w:val="0028700C"/>
    <w:rsid w:val="00291249"/>
    <w:rsid w:val="0029438F"/>
    <w:rsid w:val="002A24C4"/>
    <w:rsid w:val="002A2E51"/>
    <w:rsid w:val="002B754A"/>
    <w:rsid w:val="002E49DE"/>
    <w:rsid w:val="002F5991"/>
    <w:rsid w:val="00304B75"/>
    <w:rsid w:val="00326BF7"/>
    <w:rsid w:val="00333318"/>
    <w:rsid w:val="00334E6C"/>
    <w:rsid w:val="00353789"/>
    <w:rsid w:val="00373481"/>
    <w:rsid w:val="00385E31"/>
    <w:rsid w:val="003A5083"/>
    <w:rsid w:val="003B5202"/>
    <w:rsid w:val="003B7871"/>
    <w:rsid w:val="003D375D"/>
    <w:rsid w:val="003F358B"/>
    <w:rsid w:val="003F75E7"/>
    <w:rsid w:val="00415F9A"/>
    <w:rsid w:val="00426803"/>
    <w:rsid w:val="00471EE3"/>
    <w:rsid w:val="00474EC3"/>
    <w:rsid w:val="00495B7C"/>
    <w:rsid w:val="004B0820"/>
    <w:rsid w:val="004B5785"/>
    <w:rsid w:val="004D0738"/>
    <w:rsid w:val="004E3F99"/>
    <w:rsid w:val="0050576D"/>
    <w:rsid w:val="005202E8"/>
    <w:rsid w:val="005317CA"/>
    <w:rsid w:val="00537ADA"/>
    <w:rsid w:val="00585225"/>
    <w:rsid w:val="00592C50"/>
    <w:rsid w:val="00594959"/>
    <w:rsid w:val="00597468"/>
    <w:rsid w:val="005A2723"/>
    <w:rsid w:val="005B0EB9"/>
    <w:rsid w:val="005E35CF"/>
    <w:rsid w:val="00602F1A"/>
    <w:rsid w:val="0061172E"/>
    <w:rsid w:val="00626FD9"/>
    <w:rsid w:val="00636778"/>
    <w:rsid w:val="00636B5C"/>
    <w:rsid w:val="00657432"/>
    <w:rsid w:val="00660803"/>
    <w:rsid w:val="00664389"/>
    <w:rsid w:val="006B05F3"/>
    <w:rsid w:val="006B642A"/>
    <w:rsid w:val="006C1CEC"/>
    <w:rsid w:val="006E7BF2"/>
    <w:rsid w:val="00710C8C"/>
    <w:rsid w:val="007110E0"/>
    <w:rsid w:val="0071323A"/>
    <w:rsid w:val="007132A4"/>
    <w:rsid w:val="00717D1F"/>
    <w:rsid w:val="00724036"/>
    <w:rsid w:val="00726D47"/>
    <w:rsid w:val="007327D4"/>
    <w:rsid w:val="007429C5"/>
    <w:rsid w:val="00744C3D"/>
    <w:rsid w:val="007519B5"/>
    <w:rsid w:val="00757272"/>
    <w:rsid w:val="00762303"/>
    <w:rsid w:val="00764EF4"/>
    <w:rsid w:val="00770B24"/>
    <w:rsid w:val="00773205"/>
    <w:rsid w:val="00783D1F"/>
    <w:rsid w:val="00790BE5"/>
    <w:rsid w:val="007C3DB8"/>
    <w:rsid w:val="007C6033"/>
    <w:rsid w:val="007D2C82"/>
    <w:rsid w:val="007E6526"/>
    <w:rsid w:val="007F54CD"/>
    <w:rsid w:val="00802660"/>
    <w:rsid w:val="00804398"/>
    <w:rsid w:val="00810A66"/>
    <w:rsid w:val="008127A9"/>
    <w:rsid w:val="0081477E"/>
    <w:rsid w:val="00817977"/>
    <w:rsid w:val="00824772"/>
    <w:rsid w:val="00827E83"/>
    <w:rsid w:val="0085188C"/>
    <w:rsid w:val="0085440C"/>
    <w:rsid w:val="0086259F"/>
    <w:rsid w:val="008940F4"/>
    <w:rsid w:val="008A0489"/>
    <w:rsid w:val="008A66DE"/>
    <w:rsid w:val="008B5D8B"/>
    <w:rsid w:val="008C1192"/>
    <w:rsid w:val="008C77E0"/>
    <w:rsid w:val="008D5236"/>
    <w:rsid w:val="008E1CCE"/>
    <w:rsid w:val="008E2F1D"/>
    <w:rsid w:val="008E4828"/>
    <w:rsid w:val="008F5E13"/>
    <w:rsid w:val="00914746"/>
    <w:rsid w:val="00916C43"/>
    <w:rsid w:val="00922EB8"/>
    <w:rsid w:val="00927326"/>
    <w:rsid w:val="00934CF3"/>
    <w:rsid w:val="00942651"/>
    <w:rsid w:val="00944528"/>
    <w:rsid w:val="009509D7"/>
    <w:rsid w:val="00967F6D"/>
    <w:rsid w:val="00973FFA"/>
    <w:rsid w:val="009809E4"/>
    <w:rsid w:val="009A7895"/>
    <w:rsid w:val="009D1297"/>
    <w:rsid w:val="009E3E51"/>
    <w:rsid w:val="00A014D8"/>
    <w:rsid w:val="00A068D7"/>
    <w:rsid w:val="00A14360"/>
    <w:rsid w:val="00A20681"/>
    <w:rsid w:val="00A479A4"/>
    <w:rsid w:val="00A53294"/>
    <w:rsid w:val="00AD1306"/>
    <w:rsid w:val="00AD7C1D"/>
    <w:rsid w:val="00B300A9"/>
    <w:rsid w:val="00B43587"/>
    <w:rsid w:val="00B478D8"/>
    <w:rsid w:val="00B50E7C"/>
    <w:rsid w:val="00B567AF"/>
    <w:rsid w:val="00B634F1"/>
    <w:rsid w:val="00B66CC4"/>
    <w:rsid w:val="00B947BC"/>
    <w:rsid w:val="00BC2308"/>
    <w:rsid w:val="00BD2DF0"/>
    <w:rsid w:val="00BD3C05"/>
    <w:rsid w:val="00BD5751"/>
    <w:rsid w:val="00BF0A3A"/>
    <w:rsid w:val="00BF70B0"/>
    <w:rsid w:val="00C05C6A"/>
    <w:rsid w:val="00C12818"/>
    <w:rsid w:val="00C8031E"/>
    <w:rsid w:val="00C81AA6"/>
    <w:rsid w:val="00C829B2"/>
    <w:rsid w:val="00C85DFF"/>
    <w:rsid w:val="00CA63DA"/>
    <w:rsid w:val="00CE18DC"/>
    <w:rsid w:val="00D13143"/>
    <w:rsid w:val="00D178CA"/>
    <w:rsid w:val="00D307DE"/>
    <w:rsid w:val="00D349B8"/>
    <w:rsid w:val="00D64C63"/>
    <w:rsid w:val="00D66A5D"/>
    <w:rsid w:val="00D70AE0"/>
    <w:rsid w:val="00D80C7E"/>
    <w:rsid w:val="00D84778"/>
    <w:rsid w:val="00D84BC7"/>
    <w:rsid w:val="00D8653E"/>
    <w:rsid w:val="00D977DB"/>
    <w:rsid w:val="00DC0513"/>
    <w:rsid w:val="00DD679C"/>
    <w:rsid w:val="00DE7B91"/>
    <w:rsid w:val="00DF19E9"/>
    <w:rsid w:val="00E030F0"/>
    <w:rsid w:val="00E104BE"/>
    <w:rsid w:val="00E26D6C"/>
    <w:rsid w:val="00E31FB1"/>
    <w:rsid w:val="00E32F99"/>
    <w:rsid w:val="00E81F44"/>
    <w:rsid w:val="00EB230B"/>
    <w:rsid w:val="00EC2480"/>
    <w:rsid w:val="00EC6C76"/>
    <w:rsid w:val="00EC7DC4"/>
    <w:rsid w:val="00ED28FE"/>
    <w:rsid w:val="00EF7342"/>
    <w:rsid w:val="00F0494B"/>
    <w:rsid w:val="00F26909"/>
    <w:rsid w:val="00F36636"/>
    <w:rsid w:val="00F6427D"/>
    <w:rsid w:val="00F81611"/>
    <w:rsid w:val="00F87E00"/>
    <w:rsid w:val="00FB01A2"/>
    <w:rsid w:val="00FC7300"/>
    <w:rsid w:val="00FF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551B2F"/>
  <w15:docId w15:val="{0FC3DE03-197C-483F-B889-FE0776E1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B24"/>
    <w:pPr>
      <w:spacing w:after="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4EC3"/>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27015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70B24"/>
    <w:pPr>
      <w:spacing w:line="240" w:lineRule="auto"/>
      <w:ind w:left="720"/>
    </w:pPr>
    <w:rPr>
      <w:rFonts w:ascii="Calibri" w:hAnsi="Calibri" w:cs="Times New Roman"/>
    </w:rPr>
  </w:style>
  <w:style w:type="paragraph" w:styleId="DocumentMap">
    <w:name w:val="Document Map"/>
    <w:basedOn w:val="Normal"/>
    <w:link w:val="DocumentMapChar"/>
    <w:uiPriority w:val="99"/>
    <w:semiHidden/>
    <w:unhideWhenUsed/>
    <w:rsid w:val="008940F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940F4"/>
    <w:rPr>
      <w:rFonts w:ascii="Tahoma" w:hAnsi="Tahoma" w:cs="Tahoma"/>
      <w:sz w:val="16"/>
      <w:szCs w:val="16"/>
    </w:rPr>
  </w:style>
  <w:style w:type="character" w:styleId="Hyperlink">
    <w:name w:val="Hyperlink"/>
    <w:basedOn w:val="DefaultParagraphFont"/>
    <w:uiPriority w:val="99"/>
    <w:unhideWhenUsed/>
    <w:rsid w:val="00415F9A"/>
    <w:rPr>
      <w:color w:val="0000FF" w:themeColor="hyperlink"/>
      <w:u w:val="single"/>
    </w:rPr>
  </w:style>
  <w:style w:type="paragraph" w:styleId="PlainText">
    <w:name w:val="Plain Text"/>
    <w:basedOn w:val="Normal"/>
    <w:link w:val="PlainTextChar"/>
    <w:uiPriority w:val="99"/>
    <w:unhideWhenUsed/>
    <w:rsid w:val="00415F9A"/>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rsid w:val="00415F9A"/>
    <w:rPr>
      <w:rFonts w:ascii="Consolas" w:hAnsi="Consolas"/>
      <w:sz w:val="21"/>
      <w:szCs w:val="21"/>
    </w:rPr>
  </w:style>
  <w:style w:type="paragraph" w:styleId="Header">
    <w:name w:val="header"/>
    <w:basedOn w:val="Normal"/>
    <w:link w:val="HeaderChar"/>
    <w:uiPriority w:val="99"/>
    <w:unhideWhenUsed/>
    <w:rsid w:val="00764EF4"/>
    <w:pPr>
      <w:tabs>
        <w:tab w:val="center" w:pos="4680"/>
        <w:tab w:val="right" w:pos="9360"/>
      </w:tabs>
      <w:spacing w:line="240" w:lineRule="auto"/>
    </w:pPr>
  </w:style>
  <w:style w:type="character" w:customStyle="1" w:styleId="HeaderChar">
    <w:name w:val="Header Char"/>
    <w:basedOn w:val="DefaultParagraphFont"/>
    <w:link w:val="Header"/>
    <w:uiPriority w:val="99"/>
    <w:rsid w:val="00764EF4"/>
  </w:style>
  <w:style w:type="paragraph" w:styleId="Footer">
    <w:name w:val="footer"/>
    <w:basedOn w:val="Normal"/>
    <w:link w:val="FooterChar"/>
    <w:uiPriority w:val="99"/>
    <w:unhideWhenUsed/>
    <w:rsid w:val="00764EF4"/>
    <w:pPr>
      <w:tabs>
        <w:tab w:val="center" w:pos="4680"/>
        <w:tab w:val="right" w:pos="9360"/>
      </w:tabs>
      <w:spacing w:line="240" w:lineRule="auto"/>
    </w:pPr>
  </w:style>
  <w:style w:type="character" w:customStyle="1" w:styleId="FooterChar">
    <w:name w:val="Footer Char"/>
    <w:basedOn w:val="DefaultParagraphFont"/>
    <w:link w:val="Footer"/>
    <w:uiPriority w:val="99"/>
    <w:rsid w:val="00764EF4"/>
  </w:style>
  <w:style w:type="character" w:styleId="UnresolvedMention">
    <w:name w:val="Unresolved Mention"/>
    <w:basedOn w:val="DefaultParagraphFont"/>
    <w:uiPriority w:val="99"/>
    <w:semiHidden/>
    <w:unhideWhenUsed/>
    <w:rsid w:val="000D2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452988">
      <w:bodyDiv w:val="1"/>
      <w:marLeft w:val="0"/>
      <w:marRight w:val="0"/>
      <w:marTop w:val="0"/>
      <w:marBottom w:val="0"/>
      <w:divBdr>
        <w:top w:val="none" w:sz="0" w:space="0" w:color="auto"/>
        <w:left w:val="none" w:sz="0" w:space="0" w:color="auto"/>
        <w:bottom w:val="none" w:sz="0" w:space="0" w:color="auto"/>
        <w:right w:val="none" w:sz="0" w:space="0" w:color="auto"/>
      </w:divBdr>
    </w:div>
    <w:div w:id="169171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lis.leg.state.or.us/liz/2019R1/Measures/Overview/HB2001" TargetMode="External"/><Relationship Id="rId13" Type="http://schemas.openxmlformats.org/officeDocument/2006/relationships/hyperlink" Target="https://olis.leg.state.or.us/liz/2019R1/Measures/Overview/HB2108" TargetMode="External"/><Relationship Id="rId18" Type="http://schemas.openxmlformats.org/officeDocument/2006/relationships/hyperlink" Target="https://olis.leg.state.or.us/liz/2019R1/Measures/Overview/HB2577" TargetMode="External"/><Relationship Id="rId26" Type="http://schemas.openxmlformats.org/officeDocument/2006/relationships/hyperlink" Target="https://olis.leg.state.or.us/liz/2019R1/Measures/Overview/SB534" TargetMode="External"/><Relationship Id="rId3" Type="http://schemas.openxmlformats.org/officeDocument/2006/relationships/settings" Target="settings.xml"/><Relationship Id="rId21" Type="http://schemas.openxmlformats.org/officeDocument/2006/relationships/hyperlink" Target="https://olis.leg.state.or.us/liz/2019R1/Measures/Overview/HB3018" TargetMode="External"/><Relationship Id="rId34" Type="http://schemas.openxmlformats.org/officeDocument/2006/relationships/footer" Target="footer3.xml"/><Relationship Id="rId7" Type="http://schemas.openxmlformats.org/officeDocument/2006/relationships/hyperlink" Target="https://olis.leg.state.or.us/liz/2019R1" TargetMode="External"/><Relationship Id="rId12" Type="http://schemas.openxmlformats.org/officeDocument/2006/relationships/hyperlink" Target="https://olis.leg.state.or.us/liz/2019R1/Measures/Overview/HB2075" TargetMode="External"/><Relationship Id="rId17" Type="http://schemas.openxmlformats.org/officeDocument/2006/relationships/hyperlink" Target="https://olis.leg.state.or.us/liz/2019R1/Measures/Overview/HB2560" TargetMode="External"/><Relationship Id="rId25" Type="http://schemas.openxmlformats.org/officeDocument/2006/relationships/hyperlink" Target="https://olis.leg.state.or.us/liz/2019R1/Measures/Overview/SB92"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olis.leg.state.or.us/liz/2019R1/Measures/Overview/HB2306" TargetMode="External"/><Relationship Id="rId20" Type="http://schemas.openxmlformats.org/officeDocument/2006/relationships/hyperlink" Target="https://olis.leg.state.or.us/liz/2019R1/Measures/Overview/HB3017"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lis.leg.state.or.us/liz/2019R1/Measures/Overview/HB2055" TargetMode="External"/><Relationship Id="rId24" Type="http://schemas.openxmlformats.org/officeDocument/2006/relationships/hyperlink" Target="file:///C:\Users\edoyle\OneDrive%20-%20League%20of%20Oregon%20Cities\Shared%20with%20Everyone\2019\2019%20Legislative\SB%2010%20March%2015th%20proposed%20language.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olis.leg.state.or.us/liz/2019R1/Measures/Overview/HB2228" TargetMode="External"/><Relationship Id="rId23" Type="http://schemas.openxmlformats.org/officeDocument/2006/relationships/hyperlink" Target="https://olis.leg.state.or.us/liz/2019R1/Measures/Overview/SB10" TargetMode="External"/><Relationship Id="rId28" Type="http://schemas.openxmlformats.org/officeDocument/2006/relationships/hyperlink" Target="https://olis.leg.state.or.us/liz/2019R1/Measures/Overview/SB621" TargetMode="External"/><Relationship Id="rId36" Type="http://schemas.openxmlformats.org/officeDocument/2006/relationships/theme" Target="theme/theme1.xml"/><Relationship Id="rId10" Type="http://schemas.openxmlformats.org/officeDocument/2006/relationships/hyperlink" Target="https://olis.leg.state.or.us/liz/2019R1/Measures/Overview/HB2003" TargetMode="External"/><Relationship Id="rId19" Type="http://schemas.openxmlformats.org/officeDocument/2006/relationships/hyperlink" Target="https://olis.leg.state.or.us/liz/2019R1/Measures/Overview/HB2916"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lis.leg.state.or.us/liz/2019R1/Measures/ProposedAmendments/HB2001" TargetMode="External"/><Relationship Id="rId14" Type="http://schemas.openxmlformats.org/officeDocument/2006/relationships/hyperlink" Target="https://olis.leg.state.or.us/liz/2019R1/Measures/Overview/HB2109" TargetMode="External"/><Relationship Id="rId22" Type="http://schemas.openxmlformats.org/officeDocument/2006/relationships/hyperlink" Target="https://olis.leg.state.or.us/liz/2019R1/Measures/Overview/HB3226" TargetMode="External"/><Relationship Id="rId27" Type="http://schemas.openxmlformats.org/officeDocument/2006/relationships/hyperlink" Target="https://olis.leg.state.or.us/liz/2019R1/Measures/Overview/SB608"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2030</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City of Albany</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Richardson</dc:creator>
  <cp:lastModifiedBy>Erin Doyle</cp:lastModifiedBy>
  <cp:revision>79</cp:revision>
  <dcterms:created xsi:type="dcterms:W3CDTF">2019-03-19T01:56:00Z</dcterms:created>
  <dcterms:modified xsi:type="dcterms:W3CDTF">2019-03-19T02:45:00Z</dcterms:modified>
</cp:coreProperties>
</file>