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CC0A8" w14:textId="294B47ED" w:rsidR="00764EF4" w:rsidRPr="003422F5" w:rsidRDefault="00182518" w:rsidP="00182518">
      <w:pPr>
        <w:spacing w:before="120" w:after="120" w:line="240" w:lineRule="auto"/>
        <w:jc w:val="center"/>
        <w:rPr>
          <w:rFonts w:ascii="Arial" w:hAnsi="Arial" w:cs="Arial"/>
          <w:sz w:val="20"/>
          <w:szCs w:val="20"/>
        </w:rPr>
      </w:pPr>
      <w:r>
        <w:rPr>
          <w:rFonts w:ascii="Arial" w:hAnsi="Arial" w:cs="Arial"/>
          <w:sz w:val="20"/>
          <w:szCs w:val="20"/>
        </w:rPr>
        <w:t>Legislative Update</w:t>
      </w:r>
    </w:p>
    <w:p w14:paraId="49F9C525" w14:textId="73E4274C" w:rsidR="00F87E00" w:rsidRPr="003422F5" w:rsidRDefault="002D07FF" w:rsidP="00182518">
      <w:pPr>
        <w:spacing w:before="120" w:after="120" w:line="240" w:lineRule="auto"/>
        <w:jc w:val="center"/>
        <w:rPr>
          <w:rFonts w:ascii="Arial" w:hAnsi="Arial" w:cs="Arial"/>
          <w:sz w:val="20"/>
          <w:szCs w:val="20"/>
        </w:rPr>
      </w:pPr>
      <w:r w:rsidRPr="003422F5">
        <w:rPr>
          <w:rFonts w:ascii="Arial" w:hAnsi="Arial" w:cs="Arial"/>
          <w:sz w:val="20"/>
          <w:szCs w:val="20"/>
        </w:rPr>
        <w:t>April 11</w:t>
      </w:r>
      <w:r w:rsidR="0085440C" w:rsidRPr="003422F5">
        <w:rPr>
          <w:rFonts w:ascii="Arial" w:hAnsi="Arial" w:cs="Arial"/>
          <w:sz w:val="20"/>
          <w:szCs w:val="20"/>
        </w:rPr>
        <w:t>, 2019</w:t>
      </w:r>
    </w:p>
    <w:p w14:paraId="5119CC80" w14:textId="65C7211D" w:rsidR="0085440C" w:rsidRPr="003422F5" w:rsidRDefault="0085440C" w:rsidP="003422F5">
      <w:pPr>
        <w:spacing w:before="120" w:after="120" w:line="240" w:lineRule="auto"/>
        <w:jc w:val="left"/>
        <w:rPr>
          <w:rFonts w:ascii="Arial" w:hAnsi="Arial" w:cs="Arial"/>
          <w:sz w:val="20"/>
          <w:szCs w:val="20"/>
        </w:rPr>
      </w:pPr>
    </w:p>
    <w:p w14:paraId="234E54D7" w14:textId="28786397" w:rsidR="0085440C" w:rsidRPr="003422F5" w:rsidRDefault="0085440C" w:rsidP="003422F5">
      <w:pPr>
        <w:spacing w:before="120" w:after="120" w:line="240" w:lineRule="auto"/>
        <w:jc w:val="left"/>
        <w:rPr>
          <w:rFonts w:ascii="Arial" w:hAnsi="Arial" w:cs="Arial"/>
          <w:sz w:val="20"/>
          <w:szCs w:val="20"/>
        </w:rPr>
      </w:pPr>
      <w:r w:rsidRPr="003422F5">
        <w:rPr>
          <w:rFonts w:ascii="Arial" w:hAnsi="Arial" w:cs="Arial"/>
          <w:sz w:val="20"/>
          <w:szCs w:val="20"/>
        </w:rPr>
        <w:t>Below are bills of</w:t>
      </w:r>
      <w:r w:rsidR="00291249" w:rsidRPr="003422F5">
        <w:rPr>
          <w:rFonts w:ascii="Arial" w:hAnsi="Arial" w:cs="Arial"/>
          <w:sz w:val="20"/>
          <w:szCs w:val="20"/>
        </w:rPr>
        <w:t xml:space="preserve"> potential</w:t>
      </w:r>
      <w:r w:rsidRPr="003422F5">
        <w:rPr>
          <w:rFonts w:ascii="Arial" w:hAnsi="Arial" w:cs="Arial"/>
          <w:sz w:val="20"/>
          <w:szCs w:val="20"/>
        </w:rPr>
        <w:t xml:space="preserve"> interest to the </w:t>
      </w:r>
      <w:r w:rsidR="00DE7B91" w:rsidRPr="003422F5">
        <w:rPr>
          <w:rFonts w:ascii="Arial" w:hAnsi="Arial" w:cs="Arial"/>
          <w:sz w:val="20"/>
          <w:szCs w:val="20"/>
        </w:rPr>
        <w:t>OCPDA Board</w:t>
      </w:r>
      <w:r w:rsidR="00F6427D" w:rsidRPr="003422F5">
        <w:rPr>
          <w:rFonts w:ascii="Arial" w:hAnsi="Arial" w:cs="Arial"/>
          <w:sz w:val="20"/>
          <w:szCs w:val="20"/>
        </w:rPr>
        <w:t xml:space="preserve">, with a brief status update and links to relevant information.  This list is not intended to be </w:t>
      </w:r>
      <w:r w:rsidR="009E3E51" w:rsidRPr="003422F5">
        <w:rPr>
          <w:rFonts w:ascii="Arial" w:hAnsi="Arial" w:cs="Arial"/>
          <w:sz w:val="20"/>
          <w:szCs w:val="20"/>
        </w:rPr>
        <w:t>a comprehensive summary of the legislative session</w:t>
      </w:r>
      <w:r w:rsidR="00664389" w:rsidRPr="003422F5">
        <w:rPr>
          <w:rFonts w:ascii="Arial" w:hAnsi="Arial" w:cs="Arial"/>
          <w:sz w:val="20"/>
          <w:szCs w:val="20"/>
        </w:rPr>
        <w:t>.</w:t>
      </w:r>
      <w:r w:rsidR="00DD679C" w:rsidRPr="003422F5">
        <w:rPr>
          <w:rFonts w:ascii="Arial" w:hAnsi="Arial" w:cs="Arial"/>
          <w:sz w:val="20"/>
          <w:szCs w:val="20"/>
        </w:rPr>
        <w:t xml:space="preserve">  Summaries </w:t>
      </w:r>
      <w:r w:rsidR="00710C8C" w:rsidRPr="003422F5">
        <w:rPr>
          <w:rFonts w:ascii="Arial" w:hAnsi="Arial" w:cs="Arial"/>
          <w:sz w:val="20"/>
          <w:szCs w:val="20"/>
        </w:rPr>
        <w:t xml:space="preserve">are </w:t>
      </w:r>
      <w:r w:rsidR="002D07FF" w:rsidRPr="003422F5">
        <w:rPr>
          <w:rFonts w:ascii="Arial" w:hAnsi="Arial" w:cs="Arial"/>
          <w:sz w:val="20"/>
          <w:szCs w:val="20"/>
        </w:rPr>
        <w:t>drafted by Erin Doyle</w:t>
      </w:r>
      <w:r w:rsidR="00FF3D6D" w:rsidRPr="003422F5">
        <w:rPr>
          <w:rFonts w:ascii="Arial" w:hAnsi="Arial" w:cs="Arial"/>
          <w:sz w:val="20"/>
          <w:szCs w:val="20"/>
        </w:rPr>
        <w:t xml:space="preserve"> – except for</w:t>
      </w:r>
      <w:bookmarkStart w:id="0" w:name="_GoBack"/>
      <w:bookmarkEnd w:id="0"/>
      <w:r w:rsidR="00FF3D6D" w:rsidRPr="003422F5">
        <w:rPr>
          <w:rFonts w:ascii="Arial" w:hAnsi="Arial" w:cs="Arial"/>
          <w:sz w:val="20"/>
          <w:szCs w:val="20"/>
        </w:rPr>
        <w:t xml:space="preserve"> the summary of SB 608 – but </w:t>
      </w:r>
      <w:r w:rsidR="002D07FF" w:rsidRPr="003422F5">
        <w:rPr>
          <w:rFonts w:ascii="Arial" w:hAnsi="Arial" w:cs="Arial"/>
          <w:sz w:val="20"/>
          <w:szCs w:val="20"/>
        </w:rPr>
        <w:t xml:space="preserve">more information and the text </w:t>
      </w:r>
      <w:r w:rsidR="003422F5" w:rsidRPr="003422F5">
        <w:rPr>
          <w:rFonts w:ascii="Arial" w:hAnsi="Arial" w:cs="Arial"/>
          <w:sz w:val="20"/>
          <w:szCs w:val="20"/>
        </w:rPr>
        <w:t xml:space="preserve">of bills and amendments </w:t>
      </w:r>
      <w:r w:rsidR="002D07FF" w:rsidRPr="003422F5">
        <w:rPr>
          <w:rFonts w:ascii="Arial" w:hAnsi="Arial" w:cs="Arial"/>
          <w:sz w:val="20"/>
          <w:szCs w:val="20"/>
        </w:rPr>
        <w:t>can be found on the Oregon</w:t>
      </w:r>
      <w:r w:rsidR="00710C8C" w:rsidRPr="003422F5">
        <w:rPr>
          <w:rFonts w:ascii="Arial" w:hAnsi="Arial" w:cs="Arial"/>
          <w:sz w:val="20"/>
          <w:szCs w:val="20"/>
        </w:rPr>
        <w:t xml:space="preserve"> legislative information system (</w:t>
      </w:r>
      <w:hyperlink r:id="rId7" w:history="1">
        <w:r w:rsidR="000D2EAD" w:rsidRPr="003422F5">
          <w:rPr>
            <w:rStyle w:val="Hyperlink"/>
            <w:rFonts w:ascii="Arial" w:hAnsi="Arial" w:cs="Arial"/>
            <w:sz w:val="20"/>
            <w:szCs w:val="20"/>
          </w:rPr>
          <w:t>https://olis.leg.state.or.us/liz/2019R1</w:t>
        </w:r>
      </w:hyperlink>
      <w:r w:rsidR="000D2EAD" w:rsidRPr="003422F5">
        <w:rPr>
          <w:rFonts w:ascii="Arial" w:hAnsi="Arial" w:cs="Arial"/>
          <w:sz w:val="20"/>
          <w:szCs w:val="20"/>
        </w:rPr>
        <w:t xml:space="preserve">). </w:t>
      </w:r>
    </w:p>
    <w:p w14:paraId="5E4631A4" w14:textId="45EB3DA4" w:rsidR="00664389" w:rsidRPr="003422F5" w:rsidRDefault="00664389" w:rsidP="003422F5">
      <w:pPr>
        <w:spacing w:before="120" w:after="120" w:line="240" w:lineRule="auto"/>
        <w:jc w:val="left"/>
        <w:rPr>
          <w:rFonts w:ascii="Arial" w:hAnsi="Arial" w:cs="Arial"/>
          <w:sz w:val="20"/>
          <w:szCs w:val="20"/>
        </w:rPr>
      </w:pPr>
    </w:p>
    <w:p w14:paraId="6CA886FB" w14:textId="02E25C21" w:rsidR="00664389" w:rsidRPr="003422F5" w:rsidRDefault="00182518" w:rsidP="003422F5">
      <w:pPr>
        <w:spacing w:before="120" w:after="120" w:line="240" w:lineRule="auto"/>
        <w:jc w:val="left"/>
        <w:rPr>
          <w:rFonts w:ascii="Arial" w:hAnsi="Arial" w:cs="Arial"/>
          <w:sz w:val="20"/>
          <w:szCs w:val="20"/>
        </w:rPr>
      </w:pPr>
      <w:hyperlink r:id="rId8" w:history="1">
        <w:r w:rsidR="00664389" w:rsidRPr="003422F5">
          <w:rPr>
            <w:rStyle w:val="Hyperlink"/>
            <w:rFonts w:ascii="Arial" w:hAnsi="Arial" w:cs="Arial"/>
            <w:sz w:val="20"/>
            <w:szCs w:val="20"/>
          </w:rPr>
          <w:t>HB 2001</w:t>
        </w:r>
      </w:hyperlink>
    </w:p>
    <w:p w14:paraId="728D8825" w14:textId="655E92A0" w:rsidR="004D0738" w:rsidRPr="003422F5" w:rsidRDefault="004D0738"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Summary</w:t>
      </w:r>
    </w:p>
    <w:p w14:paraId="0298D454" w14:textId="77777777" w:rsidR="00C37D17" w:rsidRPr="003422F5" w:rsidRDefault="00C37D17" w:rsidP="003422F5">
      <w:pPr>
        <w:spacing w:before="120" w:after="120" w:line="240" w:lineRule="auto"/>
        <w:jc w:val="left"/>
        <w:rPr>
          <w:rFonts w:ascii="Arial" w:hAnsi="Arial" w:cs="Arial"/>
          <w:sz w:val="20"/>
          <w:szCs w:val="20"/>
        </w:rPr>
      </w:pPr>
      <w:r w:rsidRPr="003422F5">
        <w:rPr>
          <w:rFonts w:ascii="Arial" w:hAnsi="Arial" w:cs="Arial"/>
          <w:sz w:val="20"/>
          <w:szCs w:val="20"/>
        </w:rPr>
        <w:t>As amended the bill does the following things:</w:t>
      </w:r>
    </w:p>
    <w:p w14:paraId="3C165C9A" w14:textId="77777777" w:rsidR="00C37D17" w:rsidRPr="003422F5" w:rsidRDefault="00C37D17"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all cities in Metro with populations greater than 1,000 and all cities with populations greater than 25,000 to allow every lot in a single-family residential zone to allow for a duplex, triplex, quadplex, cottage cluster or townhomes (all of which are defined as “middle housing”), subject to design standards, by June 30, 2022  </w:t>
      </w:r>
    </w:p>
    <w:p w14:paraId="40EB61BB" w14:textId="77777777" w:rsidR="00C37D17" w:rsidRPr="003422F5" w:rsidRDefault="00C37D17"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cities outside the Metro region with a population between 10,000 and 24,999 to allow for duplexes on all lots in a residential zone that allows for single-family residences, by June 30, 2021  </w:t>
      </w:r>
    </w:p>
    <w:p w14:paraId="21110EFD" w14:textId="77777777" w:rsidR="00C37D17" w:rsidRPr="003422F5" w:rsidRDefault="00C37D17"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 xml:space="preserve">Allows for a delay for areas of town that do not have </w:t>
      </w:r>
      <w:proofErr w:type="gramStart"/>
      <w:r w:rsidRPr="003422F5">
        <w:rPr>
          <w:rFonts w:ascii="Arial" w:hAnsi="Arial" w:cs="Arial"/>
          <w:sz w:val="20"/>
          <w:szCs w:val="20"/>
        </w:rPr>
        <w:t>sufficient</w:t>
      </w:r>
      <w:proofErr w:type="gramEnd"/>
      <w:r w:rsidRPr="003422F5">
        <w:rPr>
          <w:rFonts w:ascii="Arial" w:hAnsi="Arial" w:cs="Arial"/>
          <w:sz w:val="20"/>
          <w:szCs w:val="20"/>
        </w:rPr>
        <w:t xml:space="preserve"> capacity in water, sewer, storm drainage or transportation until such time a plan is in place and executed to fix the capacity concerns</w:t>
      </w:r>
    </w:p>
    <w:p w14:paraId="2678C166" w14:textId="77777777" w:rsidR="00C37D17" w:rsidRPr="003422F5" w:rsidRDefault="00C37D17"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Requires the Oregon Department of Land Conservation and Development (DLCD) to create a model code for missing middle in single-family residential zones that will be instituted in cities that fail to adopt local codes</w:t>
      </w:r>
    </w:p>
    <w:p w14:paraId="01A03675" w14:textId="6739D582" w:rsidR="00C37D17" w:rsidRPr="003422F5" w:rsidRDefault="00C37D17"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Changes the method for calculating the building capacity of residential lands moving forward to limit the expected redevelopment rate</w:t>
      </w:r>
      <w:r w:rsidR="00DD4F9C" w:rsidRPr="003422F5">
        <w:rPr>
          <w:rFonts w:ascii="Arial" w:hAnsi="Arial" w:cs="Arial"/>
          <w:sz w:val="20"/>
          <w:szCs w:val="20"/>
        </w:rPr>
        <w:t xml:space="preserve"> and remove </w:t>
      </w:r>
    </w:p>
    <w:p w14:paraId="764DDD95" w14:textId="33DA8D16" w:rsidR="00BC3993" w:rsidRPr="003422F5" w:rsidRDefault="00BC3993"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w:t>
      </w:r>
      <w:r w:rsidR="0040735F" w:rsidRPr="003422F5">
        <w:rPr>
          <w:rFonts w:ascii="Arial" w:hAnsi="Arial" w:cs="Arial"/>
          <w:sz w:val="20"/>
          <w:szCs w:val="20"/>
        </w:rPr>
        <w:t xml:space="preserve">Building Codes Division to create a uniform process by which </w:t>
      </w:r>
      <w:r w:rsidR="00520DCD" w:rsidRPr="003422F5">
        <w:rPr>
          <w:rFonts w:ascii="Arial" w:hAnsi="Arial" w:cs="Arial"/>
          <w:sz w:val="20"/>
          <w:szCs w:val="20"/>
        </w:rPr>
        <w:t xml:space="preserve">a </w:t>
      </w:r>
      <w:r w:rsidR="009E599E" w:rsidRPr="003422F5">
        <w:rPr>
          <w:rFonts w:ascii="Arial" w:hAnsi="Arial" w:cs="Arial"/>
          <w:sz w:val="20"/>
          <w:szCs w:val="20"/>
        </w:rPr>
        <w:t xml:space="preserve">city or county building official </w:t>
      </w:r>
      <w:r w:rsidR="0040735F" w:rsidRPr="003422F5">
        <w:rPr>
          <w:rFonts w:ascii="Arial" w:hAnsi="Arial" w:cs="Arial"/>
          <w:sz w:val="20"/>
          <w:szCs w:val="20"/>
        </w:rPr>
        <w:t>can</w:t>
      </w:r>
      <w:r w:rsidR="009E599E" w:rsidRPr="003422F5">
        <w:rPr>
          <w:rFonts w:ascii="Arial" w:hAnsi="Arial" w:cs="Arial"/>
          <w:sz w:val="20"/>
          <w:szCs w:val="20"/>
        </w:rPr>
        <w:t xml:space="preserve"> allow for an alternative path to conversion of a </w:t>
      </w:r>
      <w:proofErr w:type="gramStart"/>
      <w:r w:rsidR="009E599E" w:rsidRPr="003422F5">
        <w:rPr>
          <w:rFonts w:ascii="Arial" w:hAnsi="Arial" w:cs="Arial"/>
          <w:sz w:val="20"/>
          <w:szCs w:val="20"/>
        </w:rPr>
        <w:t>single family</w:t>
      </w:r>
      <w:proofErr w:type="gramEnd"/>
      <w:r w:rsidR="009E599E" w:rsidRPr="003422F5">
        <w:rPr>
          <w:rFonts w:ascii="Arial" w:hAnsi="Arial" w:cs="Arial"/>
          <w:sz w:val="20"/>
          <w:szCs w:val="20"/>
        </w:rPr>
        <w:t xml:space="preserve"> residence into a duplex, triplex, or quadplex</w:t>
      </w:r>
    </w:p>
    <w:p w14:paraId="7A55D628" w14:textId="50DE2B8C" w:rsidR="00C37D17" w:rsidRPr="003422F5" w:rsidRDefault="00C37D17"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Requires cities to consider of a variety of incentives to increase development of middle housing</w:t>
      </w:r>
    </w:p>
    <w:p w14:paraId="4A05AA74" w14:textId="77777777" w:rsidR="00C37D17" w:rsidRPr="003422F5" w:rsidRDefault="00C37D17"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Clarifies that this up-zoning does not require a comprehensive plan update and cannot trigger an update to a transportation system plan; and</w:t>
      </w:r>
    </w:p>
    <w:p w14:paraId="5668F523" w14:textId="77777777" w:rsidR="00C37D17" w:rsidRPr="003422F5" w:rsidRDefault="00C37D17" w:rsidP="003422F5">
      <w:pPr>
        <w:pStyle w:val="ListParagraph"/>
        <w:numPr>
          <w:ilvl w:val="0"/>
          <w:numId w:val="19"/>
        </w:numPr>
        <w:spacing w:before="120" w:after="120"/>
        <w:ind w:right="144"/>
        <w:contextualSpacing/>
        <w:jc w:val="left"/>
        <w:rPr>
          <w:rFonts w:ascii="Arial" w:hAnsi="Arial" w:cs="Arial"/>
          <w:sz w:val="20"/>
          <w:szCs w:val="20"/>
        </w:rPr>
      </w:pPr>
      <w:r w:rsidRPr="003422F5">
        <w:rPr>
          <w:rFonts w:ascii="Arial" w:hAnsi="Arial" w:cs="Arial"/>
          <w:sz w:val="20"/>
          <w:szCs w:val="20"/>
        </w:rPr>
        <w:t>Provides $3 million in technical assistance funds to support local efforts.</w:t>
      </w:r>
    </w:p>
    <w:p w14:paraId="5AFF4046" w14:textId="44261F9E" w:rsidR="004D0738" w:rsidRPr="003422F5" w:rsidRDefault="004D0738"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0597C9DE" w14:textId="65C19C93" w:rsidR="004D0738" w:rsidRPr="003422F5" w:rsidRDefault="0040735F" w:rsidP="003422F5">
      <w:pPr>
        <w:spacing w:before="120" w:after="120" w:line="240" w:lineRule="auto"/>
        <w:jc w:val="left"/>
        <w:rPr>
          <w:rFonts w:ascii="Arial" w:hAnsi="Arial" w:cs="Arial"/>
          <w:sz w:val="20"/>
          <w:szCs w:val="20"/>
        </w:rPr>
      </w:pPr>
      <w:r w:rsidRPr="003422F5">
        <w:rPr>
          <w:rFonts w:ascii="Arial" w:hAnsi="Arial" w:cs="Arial"/>
          <w:sz w:val="20"/>
          <w:szCs w:val="20"/>
        </w:rPr>
        <w:t>Passed out of the House Human Services and Housing Committee unanimously</w:t>
      </w:r>
      <w:r w:rsidR="00CD7B9F" w:rsidRPr="003422F5">
        <w:rPr>
          <w:rFonts w:ascii="Arial" w:hAnsi="Arial" w:cs="Arial"/>
          <w:sz w:val="20"/>
          <w:szCs w:val="20"/>
        </w:rPr>
        <w:t xml:space="preserve"> with the -11 amendment</w:t>
      </w:r>
      <w:r w:rsidR="00D915E0" w:rsidRPr="003422F5">
        <w:rPr>
          <w:rFonts w:ascii="Arial" w:hAnsi="Arial" w:cs="Arial"/>
          <w:sz w:val="20"/>
          <w:szCs w:val="20"/>
        </w:rPr>
        <w:t xml:space="preserve"> on April 8</w:t>
      </w:r>
      <w:r w:rsidR="00CD7B9F" w:rsidRPr="003422F5">
        <w:rPr>
          <w:rFonts w:ascii="Arial" w:hAnsi="Arial" w:cs="Arial"/>
          <w:sz w:val="20"/>
          <w:szCs w:val="20"/>
        </w:rPr>
        <w:t>.  Moved to Joint Ways and Means.</w:t>
      </w:r>
    </w:p>
    <w:p w14:paraId="093DF33E" w14:textId="28A934BE" w:rsidR="00664389" w:rsidRPr="003422F5" w:rsidRDefault="00664389" w:rsidP="003422F5">
      <w:pPr>
        <w:spacing w:before="120" w:after="120" w:line="240" w:lineRule="auto"/>
        <w:jc w:val="left"/>
        <w:rPr>
          <w:rFonts w:ascii="Arial" w:hAnsi="Arial" w:cs="Arial"/>
          <w:sz w:val="20"/>
          <w:szCs w:val="20"/>
        </w:rPr>
      </w:pPr>
    </w:p>
    <w:p w14:paraId="60205D22" w14:textId="77777777" w:rsidR="003422F5" w:rsidRDefault="003422F5">
      <w:pPr>
        <w:spacing w:after="200"/>
        <w:jc w:val="left"/>
        <w:rPr>
          <w:rStyle w:val="Hyperlink"/>
          <w:rFonts w:ascii="Arial" w:hAnsi="Arial" w:cs="Arial"/>
          <w:sz w:val="20"/>
          <w:szCs w:val="20"/>
        </w:rPr>
      </w:pPr>
      <w:r>
        <w:rPr>
          <w:rStyle w:val="Hyperlink"/>
          <w:rFonts w:ascii="Arial" w:hAnsi="Arial" w:cs="Arial"/>
          <w:sz w:val="20"/>
          <w:szCs w:val="20"/>
        </w:rPr>
        <w:br w:type="page"/>
      </w:r>
    </w:p>
    <w:p w14:paraId="7E591EBB" w14:textId="29D80ABA" w:rsidR="00664389" w:rsidRPr="003422F5" w:rsidRDefault="00182518" w:rsidP="003422F5">
      <w:pPr>
        <w:spacing w:before="120" w:after="120" w:line="240" w:lineRule="auto"/>
        <w:jc w:val="left"/>
        <w:rPr>
          <w:rFonts w:ascii="Arial" w:hAnsi="Arial" w:cs="Arial"/>
          <w:sz w:val="20"/>
          <w:szCs w:val="20"/>
        </w:rPr>
      </w:pPr>
      <w:hyperlink r:id="rId9" w:history="1">
        <w:r w:rsidR="00664389" w:rsidRPr="003422F5">
          <w:rPr>
            <w:rStyle w:val="Hyperlink"/>
            <w:rFonts w:ascii="Arial" w:hAnsi="Arial" w:cs="Arial"/>
            <w:sz w:val="20"/>
            <w:szCs w:val="20"/>
          </w:rPr>
          <w:t>HB 2003</w:t>
        </w:r>
      </w:hyperlink>
    </w:p>
    <w:p w14:paraId="254E14EC" w14:textId="0BEB92C2" w:rsidR="00E32F99" w:rsidRPr="003422F5" w:rsidRDefault="00E32F99"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62851374" w14:textId="77777777" w:rsidR="00BF74E7" w:rsidRPr="003422F5" w:rsidRDefault="00BF74E7" w:rsidP="003422F5">
      <w:pPr>
        <w:spacing w:before="120" w:after="120" w:line="240" w:lineRule="auto"/>
        <w:jc w:val="left"/>
        <w:rPr>
          <w:rFonts w:ascii="Arial" w:hAnsi="Arial" w:cs="Arial"/>
          <w:sz w:val="20"/>
          <w:szCs w:val="20"/>
        </w:rPr>
      </w:pPr>
      <w:r w:rsidRPr="003422F5">
        <w:rPr>
          <w:rFonts w:ascii="Arial" w:hAnsi="Arial" w:cs="Arial"/>
          <w:sz w:val="20"/>
          <w:szCs w:val="20"/>
        </w:rPr>
        <w:t>This bill is focused on creating more data related to housing and creating a regular schedule for cities to review housing strategies.  It does the following:</w:t>
      </w:r>
    </w:p>
    <w:p w14:paraId="264821B5" w14:textId="77777777" w:rsidR="00BF74E7" w:rsidRPr="003422F5" w:rsidRDefault="00BF74E7" w:rsidP="003422F5">
      <w:pPr>
        <w:pStyle w:val="ListParagraph"/>
        <w:numPr>
          <w:ilvl w:val="0"/>
          <w:numId w:val="20"/>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the state to complete and report on creating a methodology for regional housing analysis across the state.  </w:t>
      </w:r>
    </w:p>
    <w:p w14:paraId="3841EB0E" w14:textId="77777777" w:rsidR="00BF74E7" w:rsidRPr="003422F5" w:rsidRDefault="00BF74E7" w:rsidP="003422F5">
      <w:pPr>
        <w:pStyle w:val="ListParagraph"/>
        <w:numPr>
          <w:ilvl w:val="0"/>
          <w:numId w:val="20"/>
        </w:numPr>
        <w:spacing w:before="120" w:after="120"/>
        <w:ind w:right="144"/>
        <w:contextualSpacing/>
        <w:jc w:val="left"/>
        <w:rPr>
          <w:rFonts w:ascii="Arial" w:hAnsi="Arial" w:cs="Arial"/>
          <w:sz w:val="20"/>
          <w:szCs w:val="20"/>
        </w:rPr>
      </w:pPr>
      <w:r w:rsidRPr="003422F5">
        <w:rPr>
          <w:rFonts w:ascii="Arial" w:hAnsi="Arial" w:cs="Arial"/>
          <w:sz w:val="20"/>
          <w:szCs w:val="20"/>
        </w:rPr>
        <w:t>Requires cities with populations greater than 10,000 to create a housing production strategy on a regular schedule – every six years for cities within Metro and every eight years for cities outside Metro.  Cities that fail to enact these strategies could be subject to an enforcement order by DLCD</w:t>
      </w:r>
    </w:p>
    <w:p w14:paraId="53E34ACE" w14:textId="77777777" w:rsidR="00BF74E7" w:rsidRPr="003422F5" w:rsidRDefault="00BF74E7" w:rsidP="003422F5">
      <w:pPr>
        <w:pStyle w:val="ListParagraph"/>
        <w:numPr>
          <w:ilvl w:val="0"/>
          <w:numId w:val="20"/>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Metro to “allocate” housing capacity to cities with populations greater than 10,000 within its boundary.  </w:t>
      </w:r>
    </w:p>
    <w:p w14:paraId="51B9AF0E" w14:textId="77777777" w:rsidR="00BF74E7" w:rsidRPr="003422F5" w:rsidRDefault="00BF74E7" w:rsidP="003422F5">
      <w:pPr>
        <w:pStyle w:val="ListParagraph"/>
        <w:numPr>
          <w:ilvl w:val="0"/>
          <w:numId w:val="20"/>
        </w:numPr>
        <w:spacing w:before="120" w:after="120"/>
        <w:ind w:right="144"/>
        <w:contextualSpacing/>
        <w:jc w:val="left"/>
        <w:rPr>
          <w:rFonts w:ascii="Arial" w:hAnsi="Arial" w:cs="Arial"/>
          <w:sz w:val="20"/>
          <w:szCs w:val="20"/>
        </w:rPr>
      </w:pPr>
      <w:r w:rsidRPr="003422F5">
        <w:rPr>
          <w:rFonts w:ascii="Arial" w:hAnsi="Arial" w:cs="Arial"/>
          <w:sz w:val="20"/>
          <w:szCs w:val="20"/>
        </w:rPr>
        <w:t>Provides $1.5 million in technical assistance for the first biennium to meet this new requirement.</w:t>
      </w:r>
    </w:p>
    <w:p w14:paraId="565261EF" w14:textId="5978B905" w:rsidR="00AD7C1D" w:rsidRPr="003422F5" w:rsidRDefault="00AD7C1D"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075ECBBD" w14:textId="00FA3676" w:rsidR="00AD7C1D" w:rsidRPr="003422F5" w:rsidRDefault="00BF74E7" w:rsidP="003422F5">
      <w:pPr>
        <w:spacing w:before="120" w:after="120" w:line="240" w:lineRule="auto"/>
        <w:jc w:val="left"/>
        <w:rPr>
          <w:rFonts w:ascii="Arial" w:hAnsi="Arial" w:cs="Arial"/>
          <w:sz w:val="20"/>
          <w:szCs w:val="20"/>
        </w:rPr>
      </w:pPr>
      <w:r w:rsidRPr="003422F5">
        <w:rPr>
          <w:rFonts w:ascii="Arial" w:hAnsi="Arial" w:cs="Arial"/>
          <w:sz w:val="20"/>
          <w:szCs w:val="20"/>
        </w:rPr>
        <w:t>Passed out of the House Agriculture and Land Use Committee unanimously with the -</w:t>
      </w:r>
      <w:r w:rsidR="00365F73" w:rsidRPr="003422F5">
        <w:rPr>
          <w:rFonts w:ascii="Arial" w:hAnsi="Arial" w:cs="Arial"/>
          <w:sz w:val="20"/>
          <w:szCs w:val="20"/>
        </w:rPr>
        <w:t>6</w:t>
      </w:r>
      <w:r w:rsidRPr="003422F5">
        <w:rPr>
          <w:rFonts w:ascii="Arial" w:hAnsi="Arial" w:cs="Arial"/>
          <w:sz w:val="20"/>
          <w:szCs w:val="20"/>
        </w:rPr>
        <w:t xml:space="preserve"> amendments</w:t>
      </w:r>
      <w:r w:rsidR="00365F73" w:rsidRPr="003422F5">
        <w:rPr>
          <w:rFonts w:ascii="Arial" w:hAnsi="Arial" w:cs="Arial"/>
          <w:sz w:val="20"/>
          <w:szCs w:val="20"/>
        </w:rPr>
        <w:t xml:space="preserve"> on April 4</w:t>
      </w:r>
      <w:r w:rsidRPr="003422F5">
        <w:rPr>
          <w:rFonts w:ascii="Arial" w:hAnsi="Arial" w:cs="Arial"/>
          <w:sz w:val="20"/>
          <w:szCs w:val="20"/>
        </w:rPr>
        <w:t>.  M</w:t>
      </w:r>
      <w:r w:rsidR="00232626" w:rsidRPr="003422F5">
        <w:rPr>
          <w:rFonts w:ascii="Arial" w:hAnsi="Arial" w:cs="Arial"/>
          <w:sz w:val="20"/>
          <w:szCs w:val="20"/>
        </w:rPr>
        <w:t>oved to Joint Ways and Means</w:t>
      </w:r>
      <w:r w:rsidR="00365F73" w:rsidRPr="003422F5">
        <w:rPr>
          <w:rFonts w:ascii="Arial" w:hAnsi="Arial" w:cs="Arial"/>
          <w:sz w:val="20"/>
          <w:szCs w:val="20"/>
        </w:rPr>
        <w:t>.</w:t>
      </w:r>
    </w:p>
    <w:p w14:paraId="0B7682B0" w14:textId="5C8061CB" w:rsidR="00664389" w:rsidRPr="003422F5" w:rsidRDefault="00664389" w:rsidP="003422F5">
      <w:pPr>
        <w:spacing w:before="120" w:after="120" w:line="240" w:lineRule="auto"/>
        <w:jc w:val="left"/>
        <w:rPr>
          <w:rFonts w:ascii="Arial" w:hAnsi="Arial" w:cs="Arial"/>
          <w:sz w:val="20"/>
          <w:szCs w:val="20"/>
        </w:rPr>
      </w:pPr>
    </w:p>
    <w:p w14:paraId="44348A01" w14:textId="0AB15D4A" w:rsidR="00664389" w:rsidRPr="003422F5" w:rsidRDefault="003110B3" w:rsidP="003422F5">
      <w:pPr>
        <w:spacing w:before="120" w:after="120" w:line="240" w:lineRule="auto"/>
        <w:jc w:val="left"/>
        <w:rPr>
          <w:rFonts w:ascii="Arial" w:hAnsi="Arial" w:cs="Arial"/>
          <w:sz w:val="20"/>
          <w:szCs w:val="20"/>
        </w:rPr>
      </w:pPr>
      <w:hyperlink r:id="rId10" w:history="1">
        <w:r w:rsidR="007C6033" w:rsidRPr="003422F5">
          <w:rPr>
            <w:rStyle w:val="Hyperlink"/>
            <w:rFonts w:ascii="Arial" w:hAnsi="Arial" w:cs="Arial"/>
            <w:sz w:val="20"/>
            <w:szCs w:val="20"/>
          </w:rPr>
          <w:t>HB 2055</w:t>
        </w:r>
      </w:hyperlink>
      <w:r w:rsidR="00D847ED" w:rsidRPr="003422F5">
        <w:rPr>
          <w:rStyle w:val="Hyperlink"/>
          <w:rFonts w:ascii="Arial" w:hAnsi="Arial" w:cs="Arial"/>
          <w:sz w:val="20"/>
          <w:szCs w:val="20"/>
        </w:rPr>
        <w:t xml:space="preserve"> </w:t>
      </w:r>
      <w:r w:rsidR="00671E5D" w:rsidRPr="003422F5">
        <w:rPr>
          <w:rStyle w:val="Hyperlink"/>
          <w:rFonts w:ascii="Arial" w:hAnsi="Arial" w:cs="Arial"/>
          <w:sz w:val="20"/>
          <w:szCs w:val="20"/>
        </w:rPr>
        <w:t xml:space="preserve">&amp; </w:t>
      </w:r>
      <w:hyperlink r:id="rId11" w:history="1">
        <w:r w:rsidR="00671E5D" w:rsidRPr="003422F5">
          <w:rPr>
            <w:rStyle w:val="Hyperlink"/>
            <w:rFonts w:ascii="Arial" w:hAnsi="Arial" w:cs="Arial"/>
            <w:sz w:val="20"/>
            <w:szCs w:val="20"/>
          </w:rPr>
          <w:t>HB 2056</w:t>
        </w:r>
      </w:hyperlink>
    </w:p>
    <w:p w14:paraId="05FA1F17" w14:textId="2863B357" w:rsidR="00385E31" w:rsidRPr="003422F5" w:rsidRDefault="00ED28FE"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146D4FFC" w14:textId="40A22A3F" w:rsidR="00686635" w:rsidRPr="003422F5" w:rsidRDefault="00686635" w:rsidP="003422F5">
      <w:pPr>
        <w:spacing w:before="120" w:after="120" w:line="240" w:lineRule="auto"/>
        <w:jc w:val="left"/>
        <w:rPr>
          <w:rFonts w:ascii="Arial" w:hAnsi="Arial" w:cs="Arial"/>
          <w:sz w:val="20"/>
          <w:szCs w:val="20"/>
        </w:rPr>
      </w:pPr>
      <w:r w:rsidRPr="003422F5">
        <w:rPr>
          <w:rFonts w:ascii="Arial" w:hAnsi="Arial" w:cs="Arial"/>
          <w:sz w:val="20"/>
          <w:szCs w:val="20"/>
        </w:rPr>
        <w:t xml:space="preserve">These bills, in combination, create a new program called the “Greater Oregon Housing Accelerator.”  The purpose of the program is to provide funding for housing development projects that are focused on affordability for middle income/workforce buyers.  There would need to be </w:t>
      </w:r>
      <w:proofErr w:type="gramStart"/>
      <w:r w:rsidRPr="003422F5">
        <w:rPr>
          <w:rFonts w:ascii="Arial" w:hAnsi="Arial" w:cs="Arial"/>
          <w:sz w:val="20"/>
          <w:szCs w:val="20"/>
        </w:rPr>
        <w:t>a number of</w:t>
      </w:r>
      <w:proofErr w:type="gramEnd"/>
      <w:r w:rsidRPr="003422F5">
        <w:rPr>
          <w:rFonts w:ascii="Arial" w:hAnsi="Arial" w:cs="Arial"/>
          <w:sz w:val="20"/>
          <w:szCs w:val="20"/>
        </w:rPr>
        <w:t xml:space="preserve"> partners including a developer, the city, and a local employer for a project to qualify for the funds.  This is an extension of the pilot project the Regional Solutions team completed in 2018 and would provide $15 million for the first biennium</w:t>
      </w:r>
      <w:r w:rsidRPr="003422F5">
        <w:rPr>
          <w:rFonts w:ascii="Arial" w:hAnsi="Arial" w:cs="Arial"/>
          <w:sz w:val="20"/>
          <w:szCs w:val="20"/>
        </w:rPr>
        <w:t>.</w:t>
      </w:r>
    </w:p>
    <w:p w14:paraId="3091B273" w14:textId="143CEC49" w:rsidR="00ED28FE" w:rsidRPr="003422F5" w:rsidRDefault="00ED28FE"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69F1053F" w14:textId="0FF9A3CA" w:rsidR="00ED28FE" w:rsidRPr="003422F5" w:rsidRDefault="00686635" w:rsidP="003422F5">
      <w:pPr>
        <w:spacing w:before="120" w:after="120" w:line="240" w:lineRule="auto"/>
        <w:jc w:val="left"/>
        <w:rPr>
          <w:rFonts w:ascii="Arial" w:hAnsi="Arial" w:cs="Arial"/>
          <w:sz w:val="20"/>
          <w:szCs w:val="20"/>
        </w:rPr>
      </w:pPr>
      <w:r w:rsidRPr="003422F5">
        <w:rPr>
          <w:rFonts w:ascii="Arial" w:hAnsi="Arial" w:cs="Arial"/>
          <w:sz w:val="20"/>
          <w:szCs w:val="20"/>
        </w:rPr>
        <w:t>P</w:t>
      </w:r>
      <w:r w:rsidR="00FC7300" w:rsidRPr="003422F5">
        <w:rPr>
          <w:rFonts w:ascii="Arial" w:hAnsi="Arial" w:cs="Arial"/>
          <w:sz w:val="20"/>
          <w:szCs w:val="20"/>
        </w:rPr>
        <w:t xml:space="preserve">assed out of the House Human Services and Housing Committee on March 18.  </w:t>
      </w:r>
      <w:r w:rsidRPr="003422F5">
        <w:rPr>
          <w:rFonts w:ascii="Arial" w:hAnsi="Arial" w:cs="Arial"/>
          <w:sz w:val="20"/>
          <w:szCs w:val="20"/>
        </w:rPr>
        <w:t>Moved to Joint</w:t>
      </w:r>
      <w:r w:rsidR="00FC7300" w:rsidRPr="003422F5">
        <w:rPr>
          <w:rFonts w:ascii="Arial" w:hAnsi="Arial" w:cs="Arial"/>
          <w:sz w:val="20"/>
          <w:szCs w:val="20"/>
        </w:rPr>
        <w:t xml:space="preserve"> Ways &amp; Mean.</w:t>
      </w:r>
    </w:p>
    <w:p w14:paraId="52A46BB8" w14:textId="08C54A1D" w:rsidR="00FC7300" w:rsidRPr="003422F5" w:rsidRDefault="00FC7300" w:rsidP="003422F5">
      <w:pPr>
        <w:spacing w:before="120" w:after="120" w:line="240" w:lineRule="auto"/>
        <w:jc w:val="left"/>
        <w:rPr>
          <w:rFonts w:ascii="Arial" w:hAnsi="Arial" w:cs="Arial"/>
          <w:sz w:val="20"/>
          <w:szCs w:val="20"/>
        </w:rPr>
      </w:pPr>
    </w:p>
    <w:p w14:paraId="11AB890E" w14:textId="77777777" w:rsidR="003422F5" w:rsidRDefault="003422F5">
      <w:pPr>
        <w:spacing w:after="200"/>
        <w:jc w:val="left"/>
        <w:rPr>
          <w:rStyle w:val="Hyperlink"/>
          <w:rFonts w:ascii="Arial" w:hAnsi="Arial" w:cs="Arial"/>
          <w:sz w:val="20"/>
          <w:szCs w:val="20"/>
        </w:rPr>
      </w:pPr>
      <w:r>
        <w:rPr>
          <w:rStyle w:val="Hyperlink"/>
          <w:rFonts w:ascii="Arial" w:hAnsi="Arial" w:cs="Arial"/>
          <w:sz w:val="20"/>
          <w:szCs w:val="20"/>
        </w:rPr>
        <w:br w:type="page"/>
      </w:r>
    </w:p>
    <w:p w14:paraId="5151BF1A" w14:textId="69FFB40F" w:rsidR="00385E31" w:rsidRPr="003422F5" w:rsidRDefault="00182518" w:rsidP="003422F5">
      <w:pPr>
        <w:spacing w:before="120" w:after="120" w:line="240" w:lineRule="auto"/>
        <w:jc w:val="left"/>
        <w:rPr>
          <w:rFonts w:ascii="Arial" w:hAnsi="Arial" w:cs="Arial"/>
          <w:sz w:val="20"/>
          <w:szCs w:val="20"/>
        </w:rPr>
      </w:pPr>
      <w:hyperlink r:id="rId12" w:history="1">
        <w:r w:rsidR="00C05C6A" w:rsidRPr="003422F5">
          <w:rPr>
            <w:rStyle w:val="Hyperlink"/>
            <w:rFonts w:ascii="Arial" w:hAnsi="Arial" w:cs="Arial"/>
            <w:sz w:val="20"/>
            <w:szCs w:val="20"/>
          </w:rPr>
          <w:t>HB 2075</w:t>
        </w:r>
      </w:hyperlink>
    </w:p>
    <w:p w14:paraId="3122B3E6" w14:textId="03F6B8FC" w:rsidR="00C05C6A" w:rsidRPr="003422F5" w:rsidRDefault="008E1CCE"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3BE69B57" w14:textId="77777777" w:rsidR="000B69A8" w:rsidRPr="003422F5" w:rsidRDefault="000B69A8" w:rsidP="003422F5">
      <w:pPr>
        <w:spacing w:before="120" w:after="120" w:line="240" w:lineRule="auto"/>
        <w:jc w:val="left"/>
        <w:rPr>
          <w:rFonts w:ascii="Arial" w:hAnsi="Arial" w:cs="Arial"/>
          <w:sz w:val="20"/>
          <w:szCs w:val="20"/>
        </w:rPr>
      </w:pPr>
      <w:r w:rsidRPr="003422F5">
        <w:rPr>
          <w:rFonts w:ascii="Arial" w:hAnsi="Arial" w:cs="Arial"/>
          <w:sz w:val="20"/>
          <w:szCs w:val="20"/>
        </w:rPr>
        <w:t>HB 2075 establishes the Development Readiness Program in DLCD to provide financial, technical, and other assistance to local governments for land use goals relating to housing and economic development. It would allow DLCD to directly assist local governments with land use goals by: increasing lands available for all types of housing, especially affordable housing; increasing lands available for industrial and commercial uses to promote state and regional economic development, especially for high growth industries; meeting public infrastructure needs; accessing state and other resources that support housing and economic development; analyzing housing and economic development land use resources; and updating comprehensive plans, land use regulations, zoning, urban growth boundaries, public facility plans, and maps.</w:t>
      </w:r>
    </w:p>
    <w:p w14:paraId="330E2DC9" w14:textId="18E23C0A" w:rsidR="008E1CCE" w:rsidRPr="003422F5" w:rsidRDefault="008E1CCE"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53771749" w14:textId="21047137" w:rsidR="008E1CCE" w:rsidRPr="003422F5" w:rsidRDefault="00B95B26" w:rsidP="003422F5">
      <w:pPr>
        <w:spacing w:before="120" w:after="120" w:line="240" w:lineRule="auto"/>
        <w:jc w:val="left"/>
        <w:rPr>
          <w:rFonts w:ascii="Arial" w:hAnsi="Arial" w:cs="Arial"/>
          <w:sz w:val="20"/>
          <w:szCs w:val="20"/>
        </w:rPr>
      </w:pPr>
      <w:r w:rsidRPr="003422F5">
        <w:rPr>
          <w:rFonts w:ascii="Arial" w:hAnsi="Arial" w:cs="Arial"/>
          <w:sz w:val="20"/>
          <w:szCs w:val="20"/>
        </w:rPr>
        <w:t>Passed the House</w:t>
      </w:r>
      <w:r w:rsidR="008E1CCE" w:rsidRPr="003422F5">
        <w:rPr>
          <w:rFonts w:ascii="Arial" w:hAnsi="Arial" w:cs="Arial"/>
          <w:sz w:val="20"/>
          <w:szCs w:val="20"/>
        </w:rPr>
        <w:t xml:space="preserve"> Agriculture and Land Use Committee on </w:t>
      </w:r>
      <w:r w:rsidRPr="003422F5">
        <w:rPr>
          <w:rFonts w:ascii="Arial" w:hAnsi="Arial" w:cs="Arial"/>
          <w:sz w:val="20"/>
          <w:szCs w:val="20"/>
        </w:rPr>
        <w:t>March 26 with the -2 amendment</w:t>
      </w:r>
      <w:r w:rsidR="001C4250" w:rsidRPr="003422F5">
        <w:rPr>
          <w:rFonts w:ascii="Arial" w:hAnsi="Arial" w:cs="Arial"/>
          <w:sz w:val="20"/>
          <w:szCs w:val="20"/>
        </w:rPr>
        <w:t>.</w:t>
      </w:r>
      <w:r w:rsidRPr="003422F5">
        <w:rPr>
          <w:rFonts w:ascii="Arial" w:hAnsi="Arial" w:cs="Arial"/>
          <w:sz w:val="20"/>
          <w:szCs w:val="20"/>
        </w:rPr>
        <w:t xml:space="preserve">  Move</w:t>
      </w:r>
      <w:r w:rsidR="00AC54F7" w:rsidRPr="003422F5">
        <w:rPr>
          <w:rFonts w:ascii="Arial" w:hAnsi="Arial" w:cs="Arial"/>
          <w:sz w:val="20"/>
          <w:szCs w:val="20"/>
        </w:rPr>
        <w:t>d to Joint Ways and Means.</w:t>
      </w:r>
    </w:p>
    <w:p w14:paraId="409E262B" w14:textId="77777777" w:rsidR="001C4250" w:rsidRPr="003422F5" w:rsidRDefault="001C4250" w:rsidP="003422F5">
      <w:pPr>
        <w:spacing w:before="120" w:after="120" w:line="240" w:lineRule="auto"/>
        <w:jc w:val="left"/>
        <w:rPr>
          <w:rFonts w:ascii="Arial" w:hAnsi="Arial" w:cs="Arial"/>
          <w:sz w:val="20"/>
          <w:szCs w:val="20"/>
        </w:rPr>
      </w:pPr>
    </w:p>
    <w:p w14:paraId="5B4DC04B" w14:textId="5C8542B3" w:rsidR="00F26909" w:rsidRPr="003422F5" w:rsidRDefault="00182518" w:rsidP="003422F5">
      <w:pPr>
        <w:spacing w:before="120" w:after="120" w:line="240" w:lineRule="auto"/>
        <w:jc w:val="left"/>
        <w:rPr>
          <w:rFonts w:ascii="Arial" w:hAnsi="Arial" w:cs="Arial"/>
          <w:sz w:val="20"/>
          <w:szCs w:val="20"/>
        </w:rPr>
      </w:pPr>
      <w:hyperlink r:id="rId13" w:history="1">
        <w:r w:rsidR="00F26909" w:rsidRPr="003422F5">
          <w:rPr>
            <w:rStyle w:val="Hyperlink"/>
            <w:rFonts w:ascii="Arial" w:hAnsi="Arial" w:cs="Arial"/>
            <w:sz w:val="20"/>
            <w:szCs w:val="20"/>
          </w:rPr>
          <w:t>HB 2109</w:t>
        </w:r>
      </w:hyperlink>
    </w:p>
    <w:p w14:paraId="47B9CC83" w14:textId="4E374117" w:rsidR="00F26909" w:rsidRPr="003422F5" w:rsidRDefault="001B2F84"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38C8F1BD" w14:textId="6ECDF94B" w:rsidR="001B2F84" w:rsidRPr="003422F5" w:rsidRDefault="00CE1378"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 xml:space="preserve">In cities with requirements to vote on annexations, </w:t>
      </w:r>
      <w:r w:rsidR="00D62D10" w:rsidRPr="003422F5">
        <w:rPr>
          <w:rFonts w:ascii="Arial" w:eastAsia="Palatino Linotype" w:hAnsi="Arial" w:cs="Arial"/>
          <w:color w:val="000000"/>
          <w:sz w:val="20"/>
          <w:szCs w:val="20"/>
        </w:rPr>
        <w:t>the vote on annexation of an island that is</w:t>
      </w:r>
      <w:r w:rsidR="001B2F84" w:rsidRPr="003422F5">
        <w:rPr>
          <w:rFonts w:ascii="Arial" w:eastAsia="Palatino Linotype" w:hAnsi="Arial" w:cs="Arial"/>
          <w:color w:val="000000"/>
          <w:sz w:val="20"/>
          <w:szCs w:val="20"/>
        </w:rPr>
        <w:t xml:space="preserve"> 100 acres or more</w:t>
      </w:r>
      <w:r w:rsidR="00471379" w:rsidRPr="003422F5">
        <w:rPr>
          <w:rFonts w:ascii="Arial" w:eastAsia="Palatino Linotype" w:hAnsi="Arial" w:cs="Arial"/>
          <w:color w:val="000000"/>
          <w:sz w:val="20"/>
          <w:szCs w:val="20"/>
        </w:rPr>
        <w:t xml:space="preserve"> will require </w:t>
      </w:r>
      <w:proofErr w:type="gramStart"/>
      <w:r w:rsidR="00471379" w:rsidRPr="003422F5">
        <w:rPr>
          <w:rFonts w:ascii="Arial" w:eastAsia="Palatino Linotype" w:hAnsi="Arial" w:cs="Arial"/>
          <w:color w:val="000000"/>
          <w:sz w:val="20"/>
          <w:szCs w:val="20"/>
        </w:rPr>
        <w:t>a majority of</w:t>
      </w:r>
      <w:proofErr w:type="gramEnd"/>
      <w:r w:rsidR="00471379" w:rsidRPr="003422F5">
        <w:rPr>
          <w:rFonts w:ascii="Arial" w:eastAsia="Palatino Linotype" w:hAnsi="Arial" w:cs="Arial"/>
          <w:color w:val="000000"/>
          <w:sz w:val="20"/>
          <w:szCs w:val="20"/>
        </w:rPr>
        <w:t xml:space="preserve"> votes of support in the city and within the island</w:t>
      </w:r>
      <w:r w:rsidR="001B2F84" w:rsidRPr="003422F5">
        <w:rPr>
          <w:rFonts w:ascii="Arial" w:eastAsia="Palatino Linotype" w:hAnsi="Arial" w:cs="Arial"/>
          <w:color w:val="000000"/>
          <w:sz w:val="20"/>
          <w:szCs w:val="20"/>
        </w:rPr>
        <w:t xml:space="preserve">. </w:t>
      </w:r>
    </w:p>
    <w:p w14:paraId="6A225BB3" w14:textId="4EBAEE7E" w:rsidR="001B2F84" w:rsidRPr="003422F5" w:rsidRDefault="001B2F84"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3182CFD5" w14:textId="52B06637" w:rsidR="001B2F84" w:rsidRPr="003422F5" w:rsidRDefault="00AC54F7" w:rsidP="003422F5">
      <w:pPr>
        <w:spacing w:before="120" w:after="120" w:line="240" w:lineRule="auto"/>
        <w:jc w:val="left"/>
        <w:rPr>
          <w:rFonts w:ascii="Arial" w:hAnsi="Arial" w:cs="Arial"/>
          <w:sz w:val="20"/>
          <w:szCs w:val="20"/>
        </w:rPr>
      </w:pPr>
      <w:r w:rsidRPr="003422F5">
        <w:rPr>
          <w:rFonts w:ascii="Arial" w:hAnsi="Arial" w:cs="Arial"/>
          <w:sz w:val="20"/>
          <w:szCs w:val="20"/>
        </w:rPr>
        <w:t xml:space="preserve">Passed the House floor on a </w:t>
      </w:r>
      <w:r w:rsidR="00CE1378" w:rsidRPr="003422F5">
        <w:rPr>
          <w:rFonts w:ascii="Arial" w:hAnsi="Arial" w:cs="Arial"/>
          <w:sz w:val="20"/>
          <w:szCs w:val="20"/>
        </w:rPr>
        <w:t>vote of 52-6 on April 10.  Moves to the Senate for further consideration</w:t>
      </w:r>
    </w:p>
    <w:p w14:paraId="78A327A1" w14:textId="77777777" w:rsidR="001B2F84" w:rsidRPr="003422F5" w:rsidRDefault="001B2F84" w:rsidP="003422F5">
      <w:pPr>
        <w:spacing w:before="120" w:after="120" w:line="240" w:lineRule="auto"/>
        <w:jc w:val="left"/>
        <w:rPr>
          <w:rFonts w:ascii="Arial" w:hAnsi="Arial" w:cs="Arial"/>
          <w:sz w:val="20"/>
          <w:szCs w:val="20"/>
        </w:rPr>
      </w:pPr>
    </w:p>
    <w:p w14:paraId="791383D8" w14:textId="6FCDC6FC" w:rsidR="00F26909" w:rsidRPr="003422F5" w:rsidRDefault="00182518" w:rsidP="003422F5">
      <w:pPr>
        <w:spacing w:before="120" w:after="120" w:line="240" w:lineRule="auto"/>
        <w:jc w:val="left"/>
        <w:rPr>
          <w:rFonts w:ascii="Arial" w:hAnsi="Arial" w:cs="Arial"/>
          <w:sz w:val="20"/>
          <w:szCs w:val="20"/>
        </w:rPr>
      </w:pPr>
      <w:hyperlink r:id="rId14" w:history="1">
        <w:r w:rsidR="00585225" w:rsidRPr="003422F5">
          <w:rPr>
            <w:rStyle w:val="Hyperlink"/>
            <w:rFonts w:ascii="Arial" w:hAnsi="Arial" w:cs="Arial"/>
            <w:sz w:val="20"/>
            <w:szCs w:val="20"/>
          </w:rPr>
          <w:t>HB 2228</w:t>
        </w:r>
      </w:hyperlink>
    </w:p>
    <w:p w14:paraId="461B659E" w14:textId="4457A1DD" w:rsidR="00585225" w:rsidRPr="003422F5" w:rsidRDefault="000B2748"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70E97FE9" w14:textId="312BD7D7" w:rsidR="005B0EB9" w:rsidRPr="003422F5" w:rsidRDefault="00B567AF"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Establishes Local Government Technical Assistance Program within Housing and Community Services Department</w:t>
      </w:r>
      <w:r w:rsidR="00FA0A3F" w:rsidRPr="003422F5">
        <w:rPr>
          <w:rFonts w:ascii="Arial" w:eastAsia="Palatino Linotype" w:hAnsi="Arial" w:cs="Arial"/>
          <w:color w:val="000000"/>
          <w:sz w:val="20"/>
          <w:szCs w:val="20"/>
        </w:rPr>
        <w:t xml:space="preserve"> which will contract with LOC and the Association of Oregon Counties (AOC)</w:t>
      </w:r>
      <w:r w:rsidR="00DD0CF9" w:rsidRPr="003422F5">
        <w:rPr>
          <w:rFonts w:ascii="Arial" w:eastAsia="Palatino Linotype" w:hAnsi="Arial" w:cs="Arial"/>
          <w:color w:val="000000"/>
          <w:sz w:val="20"/>
          <w:szCs w:val="20"/>
        </w:rPr>
        <w:t xml:space="preserve"> to hire regional staff to assist local governments with housing projects ranging from </w:t>
      </w:r>
      <w:r w:rsidR="002542A8" w:rsidRPr="003422F5">
        <w:rPr>
          <w:rFonts w:ascii="Arial" w:eastAsia="Palatino Linotype" w:hAnsi="Arial" w:cs="Arial"/>
          <w:color w:val="000000"/>
          <w:sz w:val="20"/>
          <w:szCs w:val="20"/>
        </w:rPr>
        <w:t xml:space="preserve">preparing housing strategies to working to development readiness to facilitating stakeholders to </w:t>
      </w:r>
      <w:r w:rsidR="00C34C7A" w:rsidRPr="003422F5">
        <w:rPr>
          <w:rFonts w:ascii="Arial" w:eastAsia="Palatino Linotype" w:hAnsi="Arial" w:cs="Arial"/>
          <w:color w:val="000000"/>
          <w:sz w:val="20"/>
          <w:szCs w:val="20"/>
        </w:rPr>
        <w:t xml:space="preserve">create </w:t>
      </w:r>
      <w:r w:rsidR="005746A6" w:rsidRPr="003422F5">
        <w:rPr>
          <w:rFonts w:ascii="Arial" w:eastAsia="Palatino Linotype" w:hAnsi="Arial" w:cs="Arial"/>
          <w:color w:val="000000"/>
          <w:sz w:val="20"/>
          <w:szCs w:val="20"/>
        </w:rPr>
        <w:t xml:space="preserve">better housing outcomes across the state. </w:t>
      </w:r>
    </w:p>
    <w:p w14:paraId="54A8034A" w14:textId="1629351E" w:rsidR="00B567AF" w:rsidRPr="003422F5" w:rsidRDefault="00B567AF"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45E77CBD" w14:textId="0CDAA387" w:rsidR="00B567AF" w:rsidRPr="003422F5" w:rsidRDefault="00471379" w:rsidP="003422F5">
      <w:pPr>
        <w:spacing w:before="120" w:after="120" w:line="240" w:lineRule="auto"/>
        <w:jc w:val="left"/>
        <w:rPr>
          <w:rFonts w:ascii="Arial" w:hAnsi="Arial" w:cs="Arial"/>
          <w:sz w:val="20"/>
          <w:szCs w:val="20"/>
        </w:rPr>
      </w:pPr>
      <w:r w:rsidRPr="003422F5">
        <w:rPr>
          <w:rFonts w:ascii="Arial" w:hAnsi="Arial" w:cs="Arial"/>
          <w:sz w:val="20"/>
          <w:szCs w:val="20"/>
        </w:rPr>
        <w:t xml:space="preserve">Passed the House Human Services and Housing Committee on </w:t>
      </w:r>
      <w:r w:rsidR="00726B4C" w:rsidRPr="003422F5">
        <w:rPr>
          <w:rFonts w:ascii="Arial" w:hAnsi="Arial" w:cs="Arial"/>
          <w:sz w:val="20"/>
          <w:szCs w:val="20"/>
        </w:rPr>
        <w:t>March 20 with the -2 amendment.  Moved to Joint Ways and Means</w:t>
      </w:r>
    </w:p>
    <w:p w14:paraId="0320103E" w14:textId="77777777" w:rsidR="000B2748" w:rsidRPr="003422F5" w:rsidRDefault="000B2748" w:rsidP="003422F5">
      <w:pPr>
        <w:spacing w:before="120" w:after="120" w:line="240" w:lineRule="auto"/>
        <w:jc w:val="left"/>
        <w:rPr>
          <w:rFonts w:ascii="Arial" w:hAnsi="Arial" w:cs="Arial"/>
          <w:sz w:val="20"/>
          <w:szCs w:val="20"/>
        </w:rPr>
      </w:pPr>
    </w:p>
    <w:p w14:paraId="431A7409" w14:textId="77777777" w:rsidR="003422F5" w:rsidRDefault="003422F5">
      <w:pPr>
        <w:spacing w:after="200"/>
        <w:jc w:val="left"/>
        <w:rPr>
          <w:rStyle w:val="Hyperlink"/>
          <w:rFonts w:ascii="Arial" w:hAnsi="Arial" w:cs="Arial"/>
          <w:sz w:val="20"/>
          <w:szCs w:val="20"/>
        </w:rPr>
      </w:pPr>
      <w:r>
        <w:rPr>
          <w:rStyle w:val="Hyperlink"/>
          <w:rFonts w:ascii="Arial" w:hAnsi="Arial" w:cs="Arial"/>
          <w:sz w:val="20"/>
          <w:szCs w:val="20"/>
        </w:rPr>
        <w:br w:type="page"/>
      </w:r>
    </w:p>
    <w:p w14:paraId="0213DDDF" w14:textId="4D8A0624" w:rsidR="00585225" w:rsidRPr="003422F5" w:rsidRDefault="00182518" w:rsidP="003422F5">
      <w:pPr>
        <w:spacing w:before="120" w:after="120" w:line="240" w:lineRule="auto"/>
        <w:jc w:val="left"/>
        <w:rPr>
          <w:rFonts w:ascii="Arial" w:hAnsi="Arial" w:cs="Arial"/>
          <w:sz w:val="20"/>
          <w:szCs w:val="20"/>
        </w:rPr>
      </w:pPr>
      <w:hyperlink r:id="rId15" w:history="1">
        <w:r w:rsidR="00D178CA" w:rsidRPr="003422F5">
          <w:rPr>
            <w:rStyle w:val="Hyperlink"/>
            <w:rFonts w:ascii="Arial" w:hAnsi="Arial" w:cs="Arial"/>
            <w:sz w:val="20"/>
            <w:szCs w:val="20"/>
          </w:rPr>
          <w:t>HB 2306</w:t>
        </w:r>
      </w:hyperlink>
    </w:p>
    <w:p w14:paraId="19D63FB1" w14:textId="13BB091B" w:rsidR="00B43587" w:rsidRPr="003422F5" w:rsidRDefault="00D307DE"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0958FA9F" w14:textId="72DE734B" w:rsidR="00D307DE" w:rsidRPr="003422F5" w:rsidRDefault="00D307DE"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Requires city or county to issue residential building permits upon substantial completion of construction of public improvements in residential subdivisions.</w:t>
      </w:r>
    </w:p>
    <w:p w14:paraId="5B03B186" w14:textId="3C246D4A" w:rsidR="00D307DE" w:rsidRPr="003422F5" w:rsidRDefault="00D307DE"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5C8172CB" w14:textId="4B9C9F24" w:rsidR="00D307DE" w:rsidRPr="003422F5" w:rsidRDefault="00FA0A3F" w:rsidP="003422F5">
      <w:pPr>
        <w:spacing w:before="120" w:after="120" w:line="240" w:lineRule="auto"/>
        <w:jc w:val="left"/>
        <w:rPr>
          <w:rFonts w:ascii="Arial" w:hAnsi="Arial" w:cs="Arial"/>
          <w:sz w:val="20"/>
          <w:szCs w:val="20"/>
        </w:rPr>
      </w:pPr>
      <w:r w:rsidRPr="003422F5">
        <w:rPr>
          <w:rFonts w:ascii="Arial" w:hAnsi="Arial" w:cs="Arial"/>
          <w:sz w:val="20"/>
          <w:szCs w:val="20"/>
        </w:rPr>
        <w:t>Passed the House floor</w:t>
      </w:r>
      <w:r w:rsidR="00D307DE" w:rsidRPr="003422F5">
        <w:rPr>
          <w:rFonts w:ascii="Arial" w:hAnsi="Arial" w:cs="Arial"/>
          <w:sz w:val="20"/>
          <w:szCs w:val="20"/>
        </w:rPr>
        <w:t xml:space="preserve"> </w:t>
      </w:r>
      <w:r w:rsidR="00664D08" w:rsidRPr="003422F5">
        <w:rPr>
          <w:rFonts w:ascii="Arial" w:hAnsi="Arial" w:cs="Arial"/>
          <w:sz w:val="20"/>
          <w:szCs w:val="20"/>
        </w:rPr>
        <w:t>unanimously on April 3 with a promise that more amendments are necessary.</w:t>
      </w:r>
      <w:r w:rsidR="00D307DE" w:rsidRPr="003422F5">
        <w:rPr>
          <w:rFonts w:ascii="Arial" w:hAnsi="Arial" w:cs="Arial"/>
          <w:sz w:val="20"/>
          <w:szCs w:val="20"/>
        </w:rPr>
        <w:t xml:space="preserve"> </w:t>
      </w:r>
      <w:r w:rsidR="00664D08" w:rsidRPr="003422F5">
        <w:rPr>
          <w:rFonts w:ascii="Arial" w:hAnsi="Arial" w:cs="Arial"/>
          <w:sz w:val="20"/>
          <w:szCs w:val="20"/>
        </w:rPr>
        <w:t>Moved to Senate Housing Committee and scheduled for a public hearing and work session on April 22.</w:t>
      </w:r>
    </w:p>
    <w:p w14:paraId="1C763B85" w14:textId="77777777" w:rsidR="00D307DE" w:rsidRPr="003422F5" w:rsidRDefault="00D307DE" w:rsidP="003422F5">
      <w:pPr>
        <w:spacing w:before="120" w:after="120" w:line="240" w:lineRule="auto"/>
        <w:jc w:val="left"/>
        <w:rPr>
          <w:rFonts w:ascii="Arial" w:hAnsi="Arial" w:cs="Arial"/>
          <w:sz w:val="20"/>
          <w:szCs w:val="20"/>
        </w:rPr>
      </w:pPr>
    </w:p>
    <w:p w14:paraId="427B05E1" w14:textId="1DC60D53" w:rsidR="00B43587" w:rsidRPr="003422F5" w:rsidRDefault="00182518" w:rsidP="003422F5">
      <w:pPr>
        <w:spacing w:before="120" w:after="120" w:line="240" w:lineRule="auto"/>
        <w:jc w:val="left"/>
        <w:rPr>
          <w:rFonts w:ascii="Arial" w:hAnsi="Arial" w:cs="Arial"/>
          <w:sz w:val="20"/>
          <w:szCs w:val="20"/>
        </w:rPr>
      </w:pPr>
      <w:hyperlink r:id="rId16" w:history="1">
        <w:r w:rsidR="00B43587" w:rsidRPr="003422F5">
          <w:rPr>
            <w:rStyle w:val="Hyperlink"/>
            <w:rFonts w:ascii="Arial" w:hAnsi="Arial" w:cs="Arial"/>
            <w:sz w:val="20"/>
            <w:szCs w:val="20"/>
          </w:rPr>
          <w:t>HB 2560</w:t>
        </w:r>
      </w:hyperlink>
    </w:p>
    <w:p w14:paraId="4C5F6C37" w14:textId="153C5B20" w:rsidR="00B43587" w:rsidRPr="003422F5" w:rsidRDefault="00773205"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4810732B" w14:textId="673AED07" w:rsidR="00773205" w:rsidRPr="003422F5" w:rsidRDefault="00072F8D"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 xml:space="preserve">Directs Department of Land Conservation and Development to study methods to mitigate impacts of technology towers on aesthetics. </w:t>
      </w:r>
    </w:p>
    <w:p w14:paraId="682C070E" w14:textId="7B289632" w:rsidR="00773205" w:rsidRPr="003422F5" w:rsidRDefault="00773205"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5F16EAD5" w14:textId="77E1E007" w:rsidR="00072F8D" w:rsidRPr="003422F5" w:rsidRDefault="000923B4" w:rsidP="003422F5">
      <w:pPr>
        <w:spacing w:before="120" w:after="120" w:line="240" w:lineRule="auto"/>
        <w:jc w:val="left"/>
        <w:rPr>
          <w:rFonts w:ascii="Arial" w:hAnsi="Arial" w:cs="Arial"/>
          <w:sz w:val="20"/>
          <w:szCs w:val="20"/>
        </w:rPr>
      </w:pPr>
      <w:r w:rsidRPr="003422F5">
        <w:rPr>
          <w:rFonts w:ascii="Arial" w:hAnsi="Arial" w:cs="Arial"/>
          <w:sz w:val="20"/>
          <w:szCs w:val="20"/>
        </w:rPr>
        <w:t xml:space="preserve">Passed out of House Agriculture and Land Use Committee on </w:t>
      </w:r>
      <w:r w:rsidR="00A709BF" w:rsidRPr="003422F5">
        <w:rPr>
          <w:rFonts w:ascii="Arial" w:hAnsi="Arial" w:cs="Arial"/>
          <w:sz w:val="20"/>
          <w:szCs w:val="20"/>
        </w:rPr>
        <w:t>April 9</w:t>
      </w:r>
      <w:r w:rsidR="00D70AE0" w:rsidRPr="003422F5">
        <w:rPr>
          <w:rFonts w:ascii="Arial" w:hAnsi="Arial" w:cs="Arial"/>
          <w:sz w:val="20"/>
          <w:szCs w:val="20"/>
        </w:rPr>
        <w:t>.</w:t>
      </w:r>
      <w:r w:rsidR="00A709BF" w:rsidRPr="003422F5">
        <w:rPr>
          <w:rFonts w:ascii="Arial" w:hAnsi="Arial" w:cs="Arial"/>
          <w:sz w:val="20"/>
          <w:szCs w:val="20"/>
        </w:rPr>
        <w:t xml:space="preserve">  Moved to Joint Ways and Means.</w:t>
      </w:r>
    </w:p>
    <w:p w14:paraId="53425F7D" w14:textId="77777777" w:rsidR="00773205" w:rsidRPr="003422F5" w:rsidRDefault="00773205" w:rsidP="003422F5">
      <w:pPr>
        <w:spacing w:before="120" w:after="120" w:line="240" w:lineRule="auto"/>
        <w:jc w:val="left"/>
        <w:rPr>
          <w:rFonts w:ascii="Arial" w:hAnsi="Arial" w:cs="Arial"/>
          <w:sz w:val="20"/>
          <w:szCs w:val="20"/>
        </w:rPr>
      </w:pPr>
    </w:p>
    <w:p w14:paraId="1032591D" w14:textId="76B0BBA8" w:rsidR="00B43587" w:rsidRPr="003422F5" w:rsidRDefault="00182518" w:rsidP="003422F5">
      <w:pPr>
        <w:spacing w:before="120" w:after="120" w:line="240" w:lineRule="auto"/>
        <w:jc w:val="left"/>
        <w:rPr>
          <w:rFonts w:ascii="Arial" w:hAnsi="Arial" w:cs="Arial"/>
          <w:sz w:val="20"/>
          <w:szCs w:val="20"/>
        </w:rPr>
      </w:pPr>
      <w:hyperlink r:id="rId17" w:history="1">
        <w:r w:rsidR="00DD679C" w:rsidRPr="003422F5">
          <w:rPr>
            <w:rStyle w:val="Hyperlink"/>
            <w:rFonts w:ascii="Arial" w:hAnsi="Arial" w:cs="Arial"/>
            <w:sz w:val="20"/>
            <w:szCs w:val="20"/>
          </w:rPr>
          <w:t>HB 2577</w:t>
        </w:r>
      </w:hyperlink>
    </w:p>
    <w:p w14:paraId="31F2E96D" w14:textId="6443A14E" w:rsidR="00EB230B" w:rsidRPr="003422F5" w:rsidRDefault="00EB230B"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11900C46" w14:textId="11CBA59B" w:rsidR="00EB230B" w:rsidRPr="003422F5" w:rsidRDefault="00A709BF"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Codifies a LUBA decision that require</w:t>
      </w:r>
      <w:r w:rsidR="00EB230B" w:rsidRPr="003422F5">
        <w:rPr>
          <w:rFonts w:ascii="Arial" w:eastAsia="Palatino Linotype" w:hAnsi="Arial" w:cs="Arial"/>
          <w:color w:val="000000"/>
          <w:sz w:val="20"/>
          <w:szCs w:val="20"/>
        </w:rPr>
        <w:t>s</w:t>
      </w:r>
      <w:r w:rsidRPr="003422F5">
        <w:rPr>
          <w:rFonts w:ascii="Arial" w:eastAsia="Palatino Linotype" w:hAnsi="Arial" w:cs="Arial"/>
          <w:color w:val="000000"/>
          <w:sz w:val="20"/>
          <w:szCs w:val="20"/>
        </w:rPr>
        <w:t xml:space="preserve"> a</w:t>
      </w:r>
      <w:r w:rsidR="00EB230B" w:rsidRPr="003422F5">
        <w:rPr>
          <w:rFonts w:ascii="Arial" w:eastAsia="Palatino Linotype" w:hAnsi="Arial" w:cs="Arial"/>
          <w:color w:val="000000"/>
          <w:sz w:val="20"/>
          <w:szCs w:val="20"/>
        </w:rPr>
        <w:t xml:space="preserve"> three-year waiting period for annexation of property that is zoned to allow residential use as permitted use in zone and is in residential use when annexation is initiated. </w:t>
      </w:r>
      <w:r w:rsidRPr="003422F5">
        <w:rPr>
          <w:rFonts w:ascii="Arial" w:eastAsia="Palatino Linotype" w:hAnsi="Arial" w:cs="Arial"/>
          <w:color w:val="000000"/>
          <w:sz w:val="20"/>
          <w:szCs w:val="20"/>
        </w:rPr>
        <w:t xml:space="preserve"> Allows for property owner to opt to come in sooner and </w:t>
      </w:r>
      <w:r w:rsidR="003F2CAA" w:rsidRPr="003422F5">
        <w:rPr>
          <w:rFonts w:ascii="Arial" w:eastAsia="Palatino Linotype" w:hAnsi="Arial" w:cs="Arial"/>
          <w:color w:val="000000"/>
          <w:sz w:val="20"/>
          <w:szCs w:val="20"/>
        </w:rPr>
        <w:t>that if the property is transferred it comes into the city immediately</w:t>
      </w:r>
    </w:p>
    <w:p w14:paraId="6DB76B4D" w14:textId="2AC4390F" w:rsidR="00EB230B" w:rsidRPr="003422F5" w:rsidRDefault="00EB230B"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5BFC9452" w14:textId="3156E6FE" w:rsidR="00EB230B" w:rsidRPr="003422F5" w:rsidRDefault="00695DEA" w:rsidP="003422F5">
      <w:pPr>
        <w:spacing w:before="120" w:after="120" w:line="240" w:lineRule="auto"/>
        <w:jc w:val="left"/>
        <w:rPr>
          <w:rFonts w:ascii="Arial" w:hAnsi="Arial" w:cs="Arial"/>
          <w:sz w:val="20"/>
          <w:szCs w:val="20"/>
        </w:rPr>
      </w:pPr>
      <w:r w:rsidRPr="003422F5">
        <w:rPr>
          <w:rFonts w:ascii="Arial" w:hAnsi="Arial" w:cs="Arial"/>
          <w:sz w:val="20"/>
          <w:szCs w:val="20"/>
        </w:rPr>
        <w:t>Scheduled for vote on House floor on April 11.</w:t>
      </w:r>
    </w:p>
    <w:p w14:paraId="10402D9D" w14:textId="0922A606" w:rsidR="00DD679C" w:rsidRPr="003422F5" w:rsidRDefault="00DD679C" w:rsidP="003422F5">
      <w:pPr>
        <w:spacing w:before="120" w:after="120" w:line="240" w:lineRule="auto"/>
        <w:jc w:val="left"/>
        <w:rPr>
          <w:rFonts w:ascii="Arial" w:hAnsi="Arial" w:cs="Arial"/>
          <w:sz w:val="20"/>
          <w:szCs w:val="20"/>
        </w:rPr>
      </w:pPr>
    </w:p>
    <w:p w14:paraId="1147DA52" w14:textId="029FED46" w:rsidR="00DD679C" w:rsidRPr="003422F5" w:rsidRDefault="00182518" w:rsidP="003422F5">
      <w:pPr>
        <w:spacing w:before="120" w:after="120" w:line="240" w:lineRule="auto"/>
        <w:jc w:val="left"/>
        <w:rPr>
          <w:rFonts w:ascii="Arial" w:hAnsi="Arial" w:cs="Arial"/>
          <w:sz w:val="20"/>
          <w:szCs w:val="20"/>
        </w:rPr>
      </w:pPr>
      <w:hyperlink r:id="rId18" w:history="1">
        <w:r w:rsidR="00BD3C05" w:rsidRPr="003422F5">
          <w:rPr>
            <w:rStyle w:val="Hyperlink"/>
            <w:rFonts w:ascii="Arial" w:hAnsi="Arial" w:cs="Arial"/>
            <w:sz w:val="20"/>
            <w:szCs w:val="20"/>
          </w:rPr>
          <w:t>HB 2916</w:t>
        </w:r>
      </w:hyperlink>
    </w:p>
    <w:p w14:paraId="72AD4840" w14:textId="544E995A" w:rsidR="00BD3C05" w:rsidRPr="003422F5" w:rsidRDefault="00BD3C05"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665DE1DE" w14:textId="4DA98F0F" w:rsidR="00BD3C05" w:rsidRPr="003422F5" w:rsidRDefault="00695DEA"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 xml:space="preserve">Expands the types of </w:t>
      </w:r>
      <w:r w:rsidR="00540A83" w:rsidRPr="003422F5">
        <w:rPr>
          <w:rFonts w:ascii="Arial" w:eastAsia="Palatino Linotype" w:hAnsi="Arial" w:cs="Arial"/>
          <w:color w:val="000000"/>
          <w:sz w:val="20"/>
          <w:szCs w:val="20"/>
        </w:rPr>
        <w:t xml:space="preserve">structures that can be used within a transitional housing site from yurts to include cabins, huts, and tents.  Allows a local government to opt to create more than two parcels that are used for transitional housing </w:t>
      </w:r>
      <w:r w:rsidR="00595F07" w:rsidRPr="003422F5">
        <w:rPr>
          <w:rFonts w:ascii="Arial" w:eastAsia="Palatino Linotype" w:hAnsi="Arial" w:cs="Arial"/>
          <w:color w:val="000000"/>
          <w:sz w:val="20"/>
          <w:szCs w:val="20"/>
        </w:rPr>
        <w:t>sites.</w:t>
      </w:r>
    </w:p>
    <w:p w14:paraId="7E3731B0" w14:textId="0A36DC32" w:rsidR="005E35CF" w:rsidRPr="003422F5" w:rsidRDefault="005E35CF"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75AA1133" w14:textId="27EC27D2" w:rsidR="005E35CF" w:rsidRPr="003422F5" w:rsidRDefault="00A84DD3" w:rsidP="003422F5">
      <w:pPr>
        <w:spacing w:before="120" w:after="120" w:line="240" w:lineRule="auto"/>
        <w:jc w:val="left"/>
        <w:rPr>
          <w:rFonts w:ascii="Arial" w:hAnsi="Arial" w:cs="Arial"/>
          <w:sz w:val="20"/>
          <w:szCs w:val="20"/>
        </w:rPr>
      </w:pPr>
      <w:r w:rsidRPr="003422F5">
        <w:rPr>
          <w:rFonts w:ascii="Arial" w:hAnsi="Arial" w:cs="Arial"/>
          <w:sz w:val="20"/>
          <w:szCs w:val="20"/>
        </w:rPr>
        <w:t>Passed the House f</w:t>
      </w:r>
      <w:r w:rsidR="00196902" w:rsidRPr="003422F5">
        <w:rPr>
          <w:rFonts w:ascii="Arial" w:hAnsi="Arial" w:cs="Arial"/>
          <w:sz w:val="20"/>
          <w:szCs w:val="20"/>
        </w:rPr>
        <w:t>loor with the -3 amendment on a 54-2 vote</w:t>
      </w:r>
      <w:r w:rsidR="005E35CF" w:rsidRPr="003422F5">
        <w:rPr>
          <w:rFonts w:ascii="Arial" w:hAnsi="Arial" w:cs="Arial"/>
          <w:sz w:val="20"/>
          <w:szCs w:val="20"/>
        </w:rPr>
        <w:t>.</w:t>
      </w:r>
      <w:r w:rsidR="00196902" w:rsidRPr="003422F5">
        <w:rPr>
          <w:rFonts w:ascii="Arial" w:hAnsi="Arial" w:cs="Arial"/>
          <w:sz w:val="20"/>
          <w:szCs w:val="20"/>
        </w:rPr>
        <w:t xml:space="preserve">  Moved to the Senate Committee on Housing and </w:t>
      </w:r>
      <w:r w:rsidR="00C77635" w:rsidRPr="003422F5">
        <w:rPr>
          <w:rFonts w:ascii="Arial" w:hAnsi="Arial" w:cs="Arial"/>
          <w:sz w:val="20"/>
          <w:szCs w:val="20"/>
        </w:rPr>
        <w:t>is scheduled for a public hearing and work session on April 22.</w:t>
      </w:r>
    </w:p>
    <w:p w14:paraId="191BDCB3" w14:textId="5CEE7E1E" w:rsidR="00353789" w:rsidRPr="003422F5" w:rsidRDefault="00353789" w:rsidP="003422F5">
      <w:pPr>
        <w:spacing w:before="120" w:after="120" w:line="240" w:lineRule="auto"/>
        <w:jc w:val="left"/>
        <w:rPr>
          <w:rFonts w:ascii="Arial" w:hAnsi="Arial" w:cs="Arial"/>
          <w:sz w:val="20"/>
          <w:szCs w:val="20"/>
        </w:rPr>
      </w:pPr>
    </w:p>
    <w:p w14:paraId="4ABBD303" w14:textId="77777777" w:rsidR="003422F5" w:rsidRDefault="003422F5">
      <w:pPr>
        <w:spacing w:after="200"/>
        <w:jc w:val="left"/>
        <w:rPr>
          <w:rStyle w:val="Hyperlink"/>
          <w:rFonts w:ascii="Arial" w:hAnsi="Arial" w:cs="Arial"/>
          <w:sz w:val="20"/>
          <w:szCs w:val="20"/>
        </w:rPr>
      </w:pPr>
      <w:r>
        <w:rPr>
          <w:rStyle w:val="Hyperlink"/>
          <w:rFonts w:ascii="Arial" w:hAnsi="Arial" w:cs="Arial"/>
          <w:sz w:val="20"/>
          <w:szCs w:val="20"/>
        </w:rPr>
        <w:br w:type="page"/>
      </w:r>
    </w:p>
    <w:p w14:paraId="6295F69B" w14:textId="7608CD60" w:rsidR="00D64C63" w:rsidRPr="003422F5" w:rsidRDefault="00182518" w:rsidP="003422F5">
      <w:pPr>
        <w:spacing w:before="120" w:after="120" w:line="240" w:lineRule="auto"/>
        <w:jc w:val="left"/>
        <w:rPr>
          <w:rFonts w:ascii="Arial" w:hAnsi="Arial" w:cs="Arial"/>
          <w:sz w:val="20"/>
          <w:szCs w:val="20"/>
        </w:rPr>
      </w:pPr>
      <w:hyperlink r:id="rId19" w:history="1">
        <w:r w:rsidR="00D349B8" w:rsidRPr="003422F5">
          <w:rPr>
            <w:rStyle w:val="Hyperlink"/>
            <w:rFonts w:ascii="Arial" w:hAnsi="Arial" w:cs="Arial"/>
            <w:sz w:val="20"/>
            <w:szCs w:val="20"/>
          </w:rPr>
          <w:t>SB 10</w:t>
        </w:r>
      </w:hyperlink>
    </w:p>
    <w:p w14:paraId="11BF82B4" w14:textId="32D2ACFE" w:rsidR="00D349B8" w:rsidRPr="003422F5" w:rsidRDefault="00D349B8"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44CA3044" w14:textId="77777777" w:rsidR="003422F5" w:rsidRDefault="007F54CD"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Establishes permissible density requirements within urban growth boundaries of cities within metropolitan service district or with population more than 10,000 for areas adjacent to transportation corridors and zoned to allow residential development.</w:t>
      </w:r>
    </w:p>
    <w:p w14:paraId="2742A545" w14:textId="040EBF36" w:rsidR="007F54CD" w:rsidRPr="003422F5" w:rsidRDefault="007F54CD"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33C5A8C2" w14:textId="034282A2" w:rsidR="007F54CD" w:rsidRPr="003422F5" w:rsidRDefault="006A4F64" w:rsidP="003422F5">
      <w:pPr>
        <w:spacing w:before="120" w:after="120" w:line="240" w:lineRule="auto"/>
        <w:jc w:val="left"/>
        <w:rPr>
          <w:rFonts w:ascii="Arial" w:hAnsi="Arial" w:cs="Arial"/>
          <w:sz w:val="20"/>
          <w:szCs w:val="20"/>
        </w:rPr>
      </w:pPr>
      <w:r w:rsidRPr="003422F5">
        <w:rPr>
          <w:rFonts w:ascii="Arial" w:hAnsi="Arial" w:cs="Arial"/>
          <w:sz w:val="20"/>
          <w:szCs w:val="20"/>
        </w:rPr>
        <w:t xml:space="preserve">Moved from the Senate Housing Committee without recommendation on </w:t>
      </w:r>
      <w:r w:rsidR="00596495" w:rsidRPr="003422F5">
        <w:rPr>
          <w:rFonts w:ascii="Arial" w:hAnsi="Arial" w:cs="Arial"/>
          <w:sz w:val="20"/>
          <w:szCs w:val="20"/>
        </w:rPr>
        <w:t>April 1.  Moved to Senate Rules Committee.</w:t>
      </w:r>
    </w:p>
    <w:p w14:paraId="5698ACA0" w14:textId="3A236ADD" w:rsidR="008C77E0" w:rsidRPr="003422F5" w:rsidRDefault="008C77E0" w:rsidP="003422F5">
      <w:pPr>
        <w:spacing w:before="120" w:after="120" w:line="240" w:lineRule="auto"/>
        <w:jc w:val="left"/>
        <w:rPr>
          <w:rFonts w:ascii="Arial" w:hAnsi="Arial" w:cs="Arial"/>
          <w:sz w:val="20"/>
          <w:szCs w:val="20"/>
        </w:rPr>
      </w:pPr>
    </w:p>
    <w:p w14:paraId="7BC779F9" w14:textId="18EC892C" w:rsidR="008C77E0" w:rsidRPr="003422F5" w:rsidRDefault="00182518" w:rsidP="003422F5">
      <w:pPr>
        <w:spacing w:before="120" w:after="120" w:line="240" w:lineRule="auto"/>
        <w:jc w:val="left"/>
        <w:rPr>
          <w:rFonts w:ascii="Arial" w:hAnsi="Arial" w:cs="Arial"/>
          <w:sz w:val="20"/>
          <w:szCs w:val="20"/>
        </w:rPr>
      </w:pPr>
      <w:hyperlink r:id="rId20" w:history="1">
        <w:r w:rsidR="00284F1A" w:rsidRPr="003422F5">
          <w:rPr>
            <w:rStyle w:val="Hyperlink"/>
            <w:rFonts w:ascii="Arial" w:hAnsi="Arial" w:cs="Arial"/>
            <w:sz w:val="20"/>
            <w:szCs w:val="20"/>
          </w:rPr>
          <w:t>SB 92</w:t>
        </w:r>
      </w:hyperlink>
    </w:p>
    <w:p w14:paraId="4405A8D7" w14:textId="4841DEB9" w:rsidR="00284F1A" w:rsidRPr="003422F5" w:rsidRDefault="00284F1A"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220A420A" w14:textId="78E3D8BF" w:rsidR="00284F1A" w:rsidRPr="003422F5" w:rsidRDefault="00D66A5D"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Authorizes city to provide for as much as 20-year ramp-up to full taxation rate for property in annexed territory. Adds, for purposes of "island annexation," corporate boundaries of another city as permitted portion of boundary surrounding territory to be annexed.</w:t>
      </w:r>
    </w:p>
    <w:p w14:paraId="1CD852FA" w14:textId="1B00052C" w:rsidR="00D66A5D" w:rsidRPr="003422F5" w:rsidRDefault="00D66A5D"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3A3BB83A" w14:textId="0CB5B51A" w:rsidR="000F2FAD" w:rsidRPr="003422F5" w:rsidRDefault="007868A4" w:rsidP="003422F5">
      <w:pPr>
        <w:spacing w:before="120" w:after="120" w:line="240" w:lineRule="auto"/>
        <w:jc w:val="left"/>
        <w:rPr>
          <w:rFonts w:ascii="Arial" w:hAnsi="Arial" w:cs="Arial"/>
          <w:sz w:val="20"/>
          <w:szCs w:val="20"/>
        </w:rPr>
      </w:pPr>
      <w:r w:rsidRPr="003422F5">
        <w:rPr>
          <w:rFonts w:ascii="Arial" w:hAnsi="Arial" w:cs="Arial"/>
          <w:sz w:val="20"/>
          <w:szCs w:val="20"/>
        </w:rPr>
        <w:t xml:space="preserve">Passed the Senate floor </w:t>
      </w:r>
      <w:r w:rsidR="00C321D7" w:rsidRPr="003422F5">
        <w:rPr>
          <w:rFonts w:ascii="Arial" w:hAnsi="Arial" w:cs="Arial"/>
          <w:sz w:val="20"/>
          <w:szCs w:val="20"/>
        </w:rPr>
        <w:t>on a 29-1 vote on April 10.  Moved to House, but not committee assigned yet.</w:t>
      </w:r>
    </w:p>
    <w:p w14:paraId="3415FDB3" w14:textId="77777777" w:rsidR="007868A4" w:rsidRPr="003422F5" w:rsidRDefault="007868A4" w:rsidP="003422F5">
      <w:pPr>
        <w:spacing w:before="120" w:after="120" w:line="240" w:lineRule="auto"/>
        <w:jc w:val="left"/>
        <w:rPr>
          <w:rFonts w:ascii="Arial" w:hAnsi="Arial" w:cs="Arial"/>
          <w:sz w:val="20"/>
          <w:szCs w:val="20"/>
        </w:rPr>
      </w:pPr>
    </w:p>
    <w:p w14:paraId="4EF19BC3" w14:textId="28A06BCF" w:rsidR="00BF0A3A" w:rsidRPr="003422F5" w:rsidRDefault="00182518" w:rsidP="003422F5">
      <w:pPr>
        <w:spacing w:before="120" w:after="120" w:line="240" w:lineRule="auto"/>
        <w:jc w:val="left"/>
        <w:rPr>
          <w:rFonts w:ascii="Arial" w:hAnsi="Arial" w:cs="Arial"/>
          <w:sz w:val="20"/>
          <w:szCs w:val="20"/>
        </w:rPr>
      </w:pPr>
      <w:hyperlink r:id="rId21" w:history="1">
        <w:r w:rsidR="00BF0A3A" w:rsidRPr="003422F5">
          <w:rPr>
            <w:rStyle w:val="Hyperlink"/>
            <w:rFonts w:ascii="Arial" w:hAnsi="Arial" w:cs="Arial"/>
            <w:sz w:val="20"/>
            <w:szCs w:val="20"/>
          </w:rPr>
          <w:t>SB 534</w:t>
        </w:r>
      </w:hyperlink>
    </w:p>
    <w:p w14:paraId="355FE175" w14:textId="3563EB51" w:rsidR="00BF0A3A" w:rsidRPr="003422F5" w:rsidRDefault="00BF0A3A"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55474DBA" w14:textId="3C9A0A70" w:rsidR="00BF0A3A" w:rsidRPr="003422F5" w:rsidRDefault="00DA287A"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Requires a city</w:t>
      </w:r>
      <w:r w:rsidR="00184F37" w:rsidRPr="003422F5">
        <w:rPr>
          <w:rFonts w:ascii="Arial" w:eastAsia="Palatino Linotype" w:hAnsi="Arial" w:cs="Arial"/>
          <w:color w:val="000000"/>
          <w:sz w:val="20"/>
          <w:szCs w:val="20"/>
        </w:rPr>
        <w:t xml:space="preserve"> over 25,000</w:t>
      </w:r>
      <w:r w:rsidRPr="003422F5">
        <w:rPr>
          <w:rFonts w:ascii="Arial" w:eastAsia="Palatino Linotype" w:hAnsi="Arial" w:cs="Arial"/>
          <w:color w:val="000000"/>
          <w:sz w:val="20"/>
          <w:szCs w:val="20"/>
        </w:rPr>
        <w:t xml:space="preserve"> to allow for a single-family dwelling </w:t>
      </w:r>
      <w:r w:rsidR="00795FB0" w:rsidRPr="003422F5">
        <w:rPr>
          <w:rFonts w:ascii="Arial" w:eastAsia="Palatino Linotype" w:hAnsi="Arial" w:cs="Arial"/>
          <w:color w:val="000000"/>
          <w:sz w:val="20"/>
          <w:szCs w:val="20"/>
        </w:rPr>
        <w:t xml:space="preserve">on a lot zoned for such a use, even the lot is a historically platted lot that was developed as part </w:t>
      </w:r>
      <w:r w:rsidR="00184F37" w:rsidRPr="003422F5">
        <w:rPr>
          <w:rFonts w:ascii="Arial" w:eastAsia="Palatino Linotype" w:hAnsi="Arial" w:cs="Arial"/>
          <w:color w:val="000000"/>
          <w:sz w:val="20"/>
          <w:szCs w:val="20"/>
        </w:rPr>
        <w:t>of a combination of lots</w:t>
      </w:r>
      <w:r w:rsidR="0018058E" w:rsidRPr="003422F5">
        <w:rPr>
          <w:rFonts w:ascii="Arial" w:eastAsia="Palatino Linotype" w:hAnsi="Arial" w:cs="Arial"/>
          <w:color w:val="000000"/>
          <w:sz w:val="20"/>
          <w:szCs w:val="20"/>
        </w:rPr>
        <w:t>.</w:t>
      </w:r>
      <w:r w:rsidR="00184F37" w:rsidRPr="003422F5">
        <w:rPr>
          <w:rFonts w:ascii="Arial" w:eastAsia="Palatino Linotype" w:hAnsi="Arial" w:cs="Arial"/>
          <w:color w:val="000000"/>
          <w:sz w:val="20"/>
          <w:szCs w:val="20"/>
        </w:rPr>
        <w:t xml:space="preserve">  Provides </w:t>
      </w:r>
      <w:r w:rsidR="00FA14C4" w:rsidRPr="003422F5">
        <w:rPr>
          <w:rFonts w:ascii="Arial" w:eastAsia="Palatino Linotype" w:hAnsi="Arial" w:cs="Arial"/>
          <w:color w:val="000000"/>
          <w:sz w:val="20"/>
          <w:szCs w:val="20"/>
        </w:rPr>
        <w:t>specific reasons that a lot might not be developed and allows siting and design standards to apply.</w:t>
      </w:r>
    </w:p>
    <w:p w14:paraId="25E90BC2" w14:textId="48C681E5" w:rsidR="0018058E" w:rsidRPr="003422F5" w:rsidRDefault="0018058E"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0271FFDE" w14:textId="351E83FD" w:rsidR="0018058E" w:rsidRPr="003422F5" w:rsidRDefault="00C321D7" w:rsidP="003422F5">
      <w:pPr>
        <w:spacing w:before="120" w:after="120" w:line="240" w:lineRule="auto"/>
        <w:jc w:val="left"/>
        <w:rPr>
          <w:rFonts w:ascii="Arial" w:hAnsi="Arial" w:cs="Arial"/>
          <w:sz w:val="20"/>
          <w:szCs w:val="20"/>
        </w:rPr>
      </w:pPr>
      <w:r w:rsidRPr="003422F5">
        <w:rPr>
          <w:rFonts w:ascii="Arial" w:hAnsi="Arial" w:cs="Arial"/>
          <w:sz w:val="20"/>
          <w:szCs w:val="20"/>
        </w:rPr>
        <w:t xml:space="preserve">Passed </w:t>
      </w:r>
      <w:r w:rsidR="00FA14C4" w:rsidRPr="003422F5">
        <w:rPr>
          <w:rFonts w:ascii="Arial" w:hAnsi="Arial" w:cs="Arial"/>
          <w:sz w:val="20"/>
          <w:szCs w:val="20"/>
        </w:rPr>
        <w:t xml:space="preserve">Senate Housing Committee with the -2 amendment on </w:t>
      </w:r>
      <w:r w:rsidR="006850F3" w:rsidRPr="003422F5">
        <w:rPr>
          <w:rFonts w:ascii="Arial" w:hAnsi="Arial" w:cs="Arial"/>
          <w:sz w:val="20"/>
          <w:szCs w:val="20"/>
        </w:rPr>
        <w:t>April 8.  Moved to Senate floor for a vote of the full Senate.</w:t>
      </w:r>
    </w:p>
    <w:p w14:paraId="74396D0A" w14:textId="5A1901D5" w:rsidR="009D1297" w:rsidRPr="003422F5" w:rsidRDefault="009D1297" w:rsidP="003422F5">
      <w:pPr>
        <w:spacing w:before="120" w:after="120" w:line="240" w:lineRule="auto"/>
        <w:jc w:val="left"/>
        <w:rPr>
          <w:rFonts w:ascii="Arial" w:hAnsi="Arial" w:cs="Arial"/>
          <w:sz w:val="20"/>
          <w:szCs w:val="20"/>
        </w:rPr>
      </w:pPr>
    </w:p>
    <w:p w14:paraId="7F94E105" w14:textId="77777777" w:rsidR="003422F5" w:rsidRDefault="003422F5">
      <w:pPr>
        <w:spacing w:after="200"/>
        <w:jc w:val="left"/>
        <w:rPr>
          <w:rStyle w:val="Hyperlink"/>
          <w:rFonts w:ascii="Arial" w:hAnsi="Arial" w:cs="Arial"/>
          <w:sz w:val="20"/>
          <w:szCs w:val="20"/>
        </w:rPr>
      </w:pPr>
      <w:r>
        <w:rPr>
          <w:rStyle w:val="Hyperlink"/>
          <w:rFonts w:ascii="Arial" w:hAnsi="Arial" w:cs="Arial"/>
          <w:sz w:val="20"/>
          <w:szCs w:val="20"/>
        </w:rPr>
        <w:br w:type="page"/>
      </w:r>
    </w:p>
    <w:p w14:paraId="0C68231F" w14:textId="4AD24459" w:rsidR="009D1297" w:rsidRPr="003422F5" w:rsidRDefault="00182518" w:rsidP="003422F5">
      <w:pPr>
        <w:spacing w:before="120" w:after="120" w:line="240" w:lineRule="auto"/>
        <w:jc w:val="left"/>
        <w:rPr>
          <w:rFonts w:ascii="Arial" w:hAnsi="Arial" w:cs="Arial"/>
          <w:sz w:val="20"/>
          <w:szCs w:val="20"/>
        </w:rPr>
      </w:pPr>
      <w:hyperlink r:id="rId22" w:history="1">
        <w:r w:rsidR="009D1297" w:rsidRPr="003422F5">
          <w:rPr>
            <w:rStyle w:val="Hyperlink"/>
            <w:rFonts w:ascii="Arial" w:hAnsi="Arial" w:cs="Arial"/>
            <w:sz w:val="20"/>
            <w:szCs w:val="20"/>
          </w:rPr>
          <w:t>SB 608</w:t>
        </w:r>
      </w:hyperlink>
    </w:p>
    <w:p w14:paraId="6A3A4F37" w14:textId="2B77B681" w:rsidR="009D1297" w:rsidRPr="003422F5" w:rsidRDefault="009D1297"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2AA12AB0" w14:textId="29AAE873" w:rsidR="009D1297" w:rsidRPr="003422F5" w:rsidRDefault="00185D39"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Prohibits landlord from terminating month-to-month tenancy without cause after 12 months of occupancy. Provides exception for certain tenancies on building or lot used by landlord as residence. Allows landlord to terminate tenancy with 90 days' written notice and payment of one month's rent under certain conditions. Exempts landlord managing four or fewer units from payment of one month's rent. Provides that fixed term tenancy becomes month-to-month tenancy upon ending date if not renewed or terminated. Allows landlord to not renew fixed term tenancy if</w:t>
      </w:r>
      <w:r w:rsidR="00A53294" w:rsidRPr="003422F5">
        <w:rPr>
          <w:rFonts w:ascii="Arial" w:eastAsia="Palatino Linotype" w:hAnsi="Arial" w:cs="Arial"/>
          <w:color w:val="000000"/>
          <w:sz w:val="20"/>
          <w:szCs w:val="20"/>
        </w:rPr>
        <w:t xml:space="preserve"> tenant receives three lease violation warnings within 12 months during term and landlord gives 90 days' notice. Limits rent increases for residential tenancies to one per year. Limits maximum annual rent increase to seven percent above annual change in consumer price index. Requires Oregon Department of Administrative Services to publish maximum annual rent increase percentage. Declares emergency, effective on passage.</w:t>
      </w:r>
    </w:p>
    <w:p w14:paraId="2EC06851" w14:textId="340AACD3" w:rsidR="00A53294" w:rsidRPr="003422F5" w:rsidRDefault="00A53294"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1894E249" w14:textId="1DCD0F7C" w:rsidR="00A53294" w:rsidRPr="003422F5" w:rsidRDefault="00A53294" w:rsidP="003422F5">
      <w:pPr>
        <w:spacing w:before="120" w:after="120" w:line="240" w:lineRule="auto"/>
        <w:jc w:val="left"/>
        <w:rPr>
          <w:rFonts w:ascii="Arial" w:hAnsi="Arial" w:cs="Arial"/>
          <w:sz w:val="20"/>
          <w:szCs w:val="20"/>
        </w:rPr>
      </w:pPr>
      <w:r w:rsidRPr="003422F5">
        <w:rPr>
          <w:rFonts w:ascii="Arial" w:hAnsi="Arial" w:cs="Arial"/>
          <w:sz w:val="20"/>
          <w:szCs w:val="20"/>
        </w:rPr>
        <w:t>Signed by Governor on February 28, 2019.  Bill is now in effect.</w:t>
      </w:r>
    </w:p>
    <w:p w14:paraId="2770F596" w14:textId="77777777" w:rsidR="006850F3" w:rsidRPr="003422F5" w:rsidRDefault="006850F3" w:rsidP="003422F5">
      <w:pPr>
        <w:spacing w:before="120" w:after="120" w:line="240" w:lineRule="auto"/>
        <w:jc w:val="left"/>
        <w:rPr>
          <w:rFonts w:ascii="Arial" w:hAnsi="Arial" w:cs="Arial"/>
          <w:sz w:val="20"/>
          <w:szCs w:val="20"/>
        </w:rPr>
      </w:pPr>
    </w:p>
    <w:p w14:paraId="0A7CBF44" w14:textId="25684B8C" w:rsidR="00802660" w:rsidRPr="003422F5" w:rsidRDefault="00426803" w:rsidP="003422F5">
      <w:pPr>
        <w:spacing w:before="120" w:after="120" w:line="240" w:lineRule="auto"/>
        <w:jc w:val="left"/>
        <w:rPr>
          <w:rFonts w:ascii="Arial" w:hAnsi="Arial" w:cs="Arial"/>
          <w:sz w:val="20"/>
          <w:szCs w:val="20"/>
        </w:rPr>
      </w:pPr>
      <w:hyperlink r:id="rId23" w:history="1">
        <w:r w:rsidR="00471EE3" w:rsidRPr="003422F5">
          <w:rPr>
            <w:rStyle w:val="Hyperlink"/>
            <w:rFonts w:ascii="Arial" w:hAnsi="Arial" w:cs="Arial"/>
            <w:sz w:val="20"/>
            <w:szCs w:val="20"/>
          </w:rPr>
          <w:t>SB 927</w:t>
        </w:r>
      </w:hyperlink>
    </w:p>
    <w:p w14:paraId="47D854F7" w14:textId="7C059011" w:rsidR="00471EE3" w:rsidRPr="003422F5" w:rsidRDefault="00471EE3" w:rsidP="003422F5">
      <w:pPr>
        <w:spacing w:before="120" w:after="120" w:line="240" w:lineRule="auto"/>
        <w:jc w:val="left"/>
        <w:rPr>
          <w:rFonts w:ascii="Arial" w:hAnsi="Arial" w:cs="Arial"/>
          <w:sz w:val="20"/>
          <w:szCs w:val="20"/>
        </w:rPr>
      </w:pPr>
      <w:r w:rsidRPr="003422F5">
        <w:rPr>
          <w:rFonts w:ascii="Arial" w:hAnsi="Arial" w:cs="Arial"/>
          <w:sz w:val="20"/>
          <w:szCs w:val="20"/>
        </w:rPr>
        <w:t>Summary</w:t>
      </w:r>
    </w:p>
    <w:p w14:paraId="7C74DFF9" w14:textId="0B1935A3" w:rsidR="00471EE3" w:rsidRPr="003422F5" w:rsidRDefault="008F5E13" w:rsidP="003422F5">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Allows local governments to develop historic resource program to designate resources for protection. Removes requirement for owner consent to designate resources. Establishes minimum components for program. Requires additional action by local government to designate resources designated on National Register of Historic Places on or after effective date of Act. Requires that existing protections be maintained. Appropriates moneys from General Fund to Land Conservation and Development Commission to provide grants or technical assistance to local governments in developing and implementing program.</w:t>
      </w:r>
    </w:p>
    <w:p w14:paraId="2BBD3BDB" w14:textId="4E55A836" w:rsidR="008F5E13" w:rsidRPr="003422F5" w:rsidRDefault="008F5E13" w:rsidP="003422F5">
      <w:pPr>
        <w:spacing w:before="120" w:after="120" w:line="240" w:lineRule="auto"/>
        <w:jc w:val="left"/>
        <w:rPr>
          <w:rFonts w:ascii="Arial" w:hAnsi="Arial" w:cs="Arial"/>
          <w:sz w:val="20"/>
          <w:szCs w:val="20"/>
        </w:rPr>
      </w:pPr>
      <w:r w:rsidRPr="003422F5">
        <w:rPr>
          <w:rFonts w:ascii="Arial" w:hAnsi="Arial" w:cs="Arial"/>
          <w:sz w:val="20"/>
          <w:szCs w:val="20"/>
        </w:rPr>
        <w:t>Status</w:t>
      </w:r>
    </w:p>
    <w:p w14:paraId="4722F2B6" w14:textId="4B30803C" w:rsidR="00432F5B" w:rsidRPr="003422F5" w:rsidRDefault="002B648B" w:rsidP="003422F5">
      <w:pPr>
        <w:spacing w:before="120" w:after="120" w:line="240" w:lineRule="auto"/>
        <w:jc w:val="left"/>
        <w:rPr>
          <w:rFonts w:ascii="Arial" w:hAnsi="Arial" w:cs="Arial"/>
          <w:sz w:val="20"/>
          <w:szCs w:val="20"/>
        </w:rPr>
      </w:pPr>
      <w:r w:rsidRPr="003422F5">
        <w:rPr>
          <w:rFonts w:ascii="Arial" w:hAnsi="Arial" w:cs="Arial"/>
          <w:sz w:val="20"/>
          <w:szCs w:val="20"/>
        </w:rPr>
        <w:t>Passed out of Senate Natural Resources Committee without recommendation on a 3-2 vote.  Moved to Senate Rules.</w:t>
      </w:r>
    </w:p>
    <w:sectPr w:rsidR="00432F5B" w:rsidRPr="003422F5" w:rsidSect="0029124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CB09C" w14:textId="77777777" w:rsidR="00D80C7E" w:rsidRDefault="00D80C7E" w:rsidP="00764EF4">
      <w:pPr>
        <w:spacing w:line="240" w:lineRule="auto"/>
      </w:pPr>
      <w:r>
        <w:separator/>
      </w:r>
    </w:p>
  </w:endnote>
  <w:endnote w:type="continuationSeparator" w:id="0">
    <w:p w14:paraId="6AFA19C7" w14:textId="77777777" w:rsidR="00D80C7E" w:rsidRDefault="00D80C7E" w:rsidP="00764EF4">
      <w:pPr>
        <w:spacing w:line="240" w:lineRule="auto"/>
      </w:pPr>
      <w:r>
        <w:continuationSeparator/>
      </w:r>
    </w:p>
  </w:endnote>
  <w:endnote w:type="continuationNotice" w:id="1">
    <w:p w14:paraId="0D60EC62" w14:textId="77777777" w:rsidR="00C21D02" w:rsidRDefault="00C21D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9501" w14:textId="77777777" w:rsidR="00C8031E" w:rsidRDefault="00C80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710589"/>
      <w:docPartObj>
        <w:docPartGallery w:val="Page Numbers (Bottom of Page)"/>
        <w:docPartUnique/>
      </w:docPartObj>
    </w:sdtPr>
    <w:sdtEndPr>
      <w:rPr>
        <w:color w:val="7F7F7F" w:themeColor="background1" w:themeShade="7F"/>
        <w:spacing w:val="60"/>
      </w:rPr>
    </w:sdtEndPr>
    <w:sdtContent>
      <w:p w14:paraId="74B43F8F" w14:textId="48A62ED8" w:rsidR="00764EF4" w:rsidRDefault="00764EF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4AF970" w14:textId="77777777" w:rsidR="00764EF4" w:rsidRDefault="00764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FD82" w14:textId="77777777" w:rsidR="00C8031E" w:rsidRDefault="00C80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3DA0" w14:textId="77777777" w:rsidR="00D80C7E" w:rsidRDefault="00D80C7E" w:rsidP="00764EF4">
      <w:pPr>
        <w:spacing w:line="240" w:lineRule="auto"/>
      </w:pPr>
      <w:r>
        <w:separator/>
      </w:r>
    </w:p>
  </w:footnote>
  <w:footnote w:type="continuationSeparator" w:id="0">
    <w:p w14:paraId="00C1EF6E" w14:textId="77777777" w:rsidR="00D80C7E" w:rsidRDefault="00D80C7E" w:rsidP="00764EF4">
      <w:pPr>
        <w:spacing w:line="240" w:lineRule="auto"/>
      </w:pPr>
      <w:r>
        <w:continuationSeparator/>
      </w:r>
    </w:p>
  </w:footnote>
  <w:footnote w:type="continuationNotice" w:id="1">
    <w:p w14:paraId="75E1B0A5" w14:textId="77777777" w:rsidR="00C21D02" w:rsidRDefault="00C21D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F58D" w14:textId="77777777" w:rsidR="00C8031E" w:rsidRDefault="00C80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66D0" w14:textId="0CF94165" w:rsidR="003F75E7" w:rsidRDefault="003F75E7" w:rsidP="00DF19E9">
    <w:pPr>
      <w:pStyle w:val="NormalWeb"/>
      <w:spacing w:before="0" w:beforeAutospacing="0" w:after="0" w:afterAutospacing="0"/>
      <w:jc w:val="center"/>
      <w:outlineLvl w:val="0"/>
      <w:rPr>
        <w:rFonts w:ascii="Calibri" w:hAnsi="Calibri"/>
        <w:noProof/>
        <w:sz w:val="34"/>
        <w:szCs w:val="34"/>
      </w:rPr>
    </w:pPr>
    <w:r>
      <w:rPr>
        <w:rFonts w:ascii="Calibri" w:hAnsi="Calibri"/>
        <w:noProof/>
        <w:sz w:val="34"/>
        <w:szCs w:val="34"/>
      </w:rPr>
      <w:drawing>
        <wp:anchor distT="0" distB="0" distL="114300" distR="114300" simplePos="0" relativeHeight="251658245" behindDoc="1" locked="0" layoutInCell="1" allowOverlap="1" wp14:anchorId="20D6FD40" wp14:editId="7ADE7A26">
          <wp:simplePos x="0" y="0"/>
          <wp:positionH relativeFrom="column">
            <wp:posOffset>-419418</wp:posOffset>
          </wp:positionH>
          <wp:positionV relativeFrom="paragraph">
            <wp:posOffset>5765</wp:posOffset>
          </wp:positionV>
          <wp:extent cx="1315147" cy="1057275"/>
          <wp:effectExtent l="0" t="0" r="0" b="0"/>
          <wp:wrapNone/>
          <wp:docPr id="22" name="Picture 2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CPDA Color logo 11-10.jpg"/>
                  <pic:cNvPicPr/>
                </pic:nvPicPr>
                <pic:blipFill>
                  <a:blip r:embed="rId1">
                    <a:extLst>
                      <a:ext uri="{28A0092B-C50C-407E-A947-70E740481C1C}">
                        <a14:useLocalDpi xmlns:a14="http://schemas.microsoft.com/office/drawing/2010/main" val="0"/>
                      </a:ext>
                    </a:extLst>
                  </a:blip>
                  <a:stretch>
                    <a:fillRect/>
                  </a:stretch>
                </pic:blipFill>
                <pic:spPr>
                  <a:xfrm>
                    <a:off x="0" y="0"/>
                    <a:ext cx="1315147" cy="1057275"/>
                  </a:xfrm>
                  <a:prstGeom prst="rect">
                    <a:avLst/>
                  </a:prstGeom>
                </pic:spPr>
              </pic:pic>
            </a:graphicData>
          </a:graphic>
        </wp:anchor>
      </w:drawing>
    </w:r>
  </w:p>
  <w:p w14:paraId="5CE4A4CB" w14:textId="3C346B24" w:rsidR="003F75E7" w:rsidRDefault="003F75E7" w:rsidP="00DF19E9">
    <w:pPr>
      <w:pStyle w:val="NormalWeb"/>
      <w:spacing w:before="0" w:beforeAutospacing="0" w:after="0" w:afterAutospacing="0"/>
      <w:jc w:val="center"/>
      <w:outlineLvl w:val="0"/>
      <w:rPr>
        <w:b/>
        <w:noProof/>
        <w:sz w:val="28"/>
        <w:szCs w:val="28"/>
      </w:rPr>
    </w:pPr>
  </w:p>
  <w:p w14:paraId="03412CA9" w14:textId="77777777" w:rsidR="003F75E7" w:rsidRDefault="003F75E7" w:rsidP="00DF19E9">
    <w:pPr>
      <w:pStyle w:val="NormalWeb"/>
      <w:spacing w:before="0" w:beforeAutospacing="0" w:after="0" w:afterAutospacing="0"/>
      <w:jc w:val="center"/>
      <w:outlineLvl w:val="0"/>
      <w:rPr>
        <w:b/>
        <w:noProof/>
        <w:sz w:val="28"/>
        <w:szCs w:val="28"/>
      </w:rPr>
    </w:pPr>
  </w:p>
  <w:p w14:paraId="57950DA1" w14:textId="62F28586" w:rsidR="00DF19E9" w:rsidRPr="00086F1F" w:rsidRDefault="00DF19E9" w:rsidP="00DF19E9">
    <w:pPr>
      <w:pStyle w:val="NormalWeb"/>
      <w:spacing w:before="0" w:beforeAutospacing="0" w:after="0" w:afterAutospacing="0"/>
      <w:jc w:val="center"/>
      <w:outlineLvl w:val="0"/>
      <w:rPr>
        <w:b/>
        <w:noProof/>
        <w:sz w:val="28"/>
        <w:szCs w:val="28"/>
      </w:rPr>
    </w:pPr>
    <w:r>
      <w:rPr>
        <w:noProof/>
      </w:rPr>
      <w:drawing>
        <wp:anchor distT="36576" distB="36576" distL="36576" distR="36576" simplePos="0" relativeHeight="251658240" behindDoc="0" locked="0" layoutInCell="1" allowOverlap="1" wp14:anchorId="091A927C" wp14:editId="5B724423">
          <wp:simplePos x="0" y="0"/>
          <wp:positionH relativeFrom="column">
            <wp:posOffset>7029450</wp:posOffset>
          </wp:positionH>
          <wp:positionV relativeFrom="paragraph">
            <wp:posOffset>612775</wp:posOffset>
          </wp:positionV>
          <wp:extent cx="2114550" cy="153225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58241" behindDoc="0" locked="0" layoutInCell="1" allowOverlap="1" wp14:anchorId="49ACC92F" wp14:editId="04AEDB15">
          <wp:simplePos x="0" y="0"/>
          <wp:positionH relativeFrom="column">
            <wp:posOffset>7029450</wp:posOffset>
          </wp:positionH>
          <wp:positionV relativeFrom="paragraph">
            <wp:posOffset>612775</wp:posOffset>
          </wp:positionV>
          <wp:extent cx="2114550" cy="153225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drawing>
        <wp:anchor distT="36576" distB="36576" distL="36576" distR="36576" simplePos="0" relativeHeight="251658242" behindDoc="0" locked="0" layoutInCell="1" allowOverlap="1" wp14:anchorId="43176149" wp14:editId="72FC113F">
          <wp:simplePos x="0" y="0"/>
          <wp:positionH relativeFrom="column">
            <wp:posOffset>7029450</wp:posOffset>
          </wp:positionH>
          <wp:positionV relativeFrom="paragraph">
            <wp:posOffset>612775</wp:posOffset>
          </wp:positionV>
          <wp:extent cx="2114550" cy="153225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drawing>
        <wp:anchor distT="36576" distB="36576" distL="36576" distR="36576" simplePos="0" relativeHeight="251658243" behindDoc="0" locked="0" layoutInCell="1" allowOverlap="1" wp14:anchorId="4B2E9506" wp14:editId="5517D9D3">
          <wp:simplePos x="0" y="0"/>
          <wp:positionH relativeFrom="column">
            <wp:posOffset>7029450</wp:posOffset>
          </wp:positionH>
          <wp:positionV relativeFrom="paragraph">
            <wp:posOffset>612775</wp:posOffset>
          </wp:positionV>
          <wp:extent cx="2114550" cy="1532255"/>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t>Oregon City Planning Directors Association</w:t>
    </w:r>
  </w:p>
  <w:p w14:paraId="0C38B25B" w14:textId="77777777" w:rsidR="00DF19E9" w:rsidRPr="00086F1F" w:rsidRDefault="00DF19E9" w:rsidP="00DF19E9">
    <w:pPr>
      <w:pStyle w:val="NormalWeb"/>
      <w:spacing w:before="0" w:beforeAutospacing="0" w:after="0" w:afterAutospacing="0"/>
      <w:jc w:val="center"/>
      <w:outlineLvl w:val="0"/>
      <w:rPr>
        <w:noProof/>
        <w:sz w:val="20"/>
        <w:szCs w:val="20"/>
      </w:rPr>
    </w:pPr>
    <w:r w:rsidRPr="00086F1F">
      <w:rPr>
        <w:noProof/>
        <w:sz w:val="20"/>
        <w:szCs w:val="20"/>
      </w:rPr>
      <w:t xml:space="preserve">1201 Court Street NE, Salem, OR 97301 </w:t>
    </w:r>
    <w:r w:rsidRPr="00086F1F">
      <w:rPr>
        <w:i/>
        <w:iCs/>
        <w:sz w:val="20"/>
        <w:szCs w:val="20"/>
      </w:rPr>
      <w:t>Ph: (503) 588-6550 ▪ Fax: (503) 399-4863</w:t>
    </w:r>
  </w:p>
  <w:p w14:paraId="761F10DE" w14:textId="77777777" w:rsidR="00DF19E9" w:rsidRDefault="00DF19E9" w:rsidP="00DF19E9">
    <w:pPr>
      <w:pStyle w:val="NormalWeb"/>
      <w:spacing w:before="0" w:beforeAutospacing="0" w:after="0" w:afterAutospacing="0"/>
      <w:rPr>
        <w:noProof/>
      </w:rPr>
    </w:pPr>
    <w:r>
      <w:rPr>
        <w:noProof/>
      </w:rPr>
      <mc:AlternateContent>
        <mc:Choice Requires="wps">
          <w:drawing>
            <wp:anchor distT="0" distB="0" distL="114300" distR="114300" simplePos="0" relativeHeight="251658244" behindDoc="0" locked="0" layoutInCell="1" allowOverlap="1" wp14:anchorId="0F0C5AE8" wp14:editId="6808354B">
              <wp:simplePos x="0" y="0"/>
              <wp:positionH relativeFrom="column">
                <wp:posOffset>-415925</wp:posOffset>
              </wp:positionH>
              <wp:positionV relativeFrom="paragraph">
                <wp:posOffset>40005</wp:posOffset>
              </wp:positionV>
              <wp:extent cx="6565265" cy="12065"/>
              <wp:effectExtent l="12700" t="10160" r="13335" b="635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526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4A5FD" id="_x0000_t32" coordsize="21600,21600" o:spt="32" o:oned="t" path="m,l21600,21600e" filled="f">
              <v:path arrowok="t" fillok="f" o:connecttype="none"/>
              <o:lock v:ext="edit" shapetype="t"/>
            </v:shapetype>
            <v:shape id="AutoShape 7" o:spid="_x0000_s1026" type="#_x0000_t32" style="position:absolute;margin-left:-32.75pt;margin-top:3.15pt;width:516.95pt;height:.9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DACC" w14:textId="77777777" w:rsidR="00C8031E" w:rsidRDefault="00C8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0D52"/>
    <w:multiLevelType w:val="hybridMultilevel"/>
    <w:tmpl w:val="5670662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A7D1F01"/>
    <w:multiLevelType w:val="hybridMultilevel"/>
    <w:tmpl w:val="32FA20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E43FD"/>
    <w:multiLevelType w:val="multilevel"/>
    <w:tmpl w:val="003EC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F57FB"/>
    <w:multiLevelType w:val="hybridMultilevel"/>
    <w:tmpl w:val="23829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67199"/>
    <w:multiLevelType w:val="multilevel"/>
    <w:tmpl w:val="A056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A24F8"/>
    <w:multiLevelType w:val="hybridMultilevel"/>
    <w:tmpl w:val="0D1C6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825AF"/>
    <w:multiLevelType w:val="multilevel"/>
    <w:tmpl w:val="B9F0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2194F"/>
    <w:multiLevelType w:val="hybridMultilevel"/>
    <w:tmpl w:val="B61E0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F37194"/>
    <w:multiLevelType w:val="hybridMultilevel"/>
    <w:tmpl w:val="14B0F0A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EB57F14"/>
    <w:multiLevelType w:val="multilevel"/>
    <w:tmpl w:val="08B0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673E9"/>
    <w:multiLevelType w:val="multilevel"/>
    <w:tmpl w:val="E500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431C0"/>
    <w:multiLevelType w:val="multilevel"/>
    <w:tmpl w:val="83A02C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B1F57B0"/>
    <w:multiLevelType w:val="multilevel"/>
    <w:tmpl w:val="9336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E048D9"/>
    <w:multiLevelType w:val="hybridMultilevel"/>
    <w:tmpl w:val="BC2A2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1B1DA1"/>
    <w:multiLevelType w:val="multilevel"/>
    <w:tmpl w:val="BDE6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9F7049"/>
    <w:multiLevelType w:val="multilevel"/>
    <w:tmpl w:val="06D6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A000E2"/>
    <w:multiLevelType w:val="multilevel"/>
    <w:tmpl w:val="1D48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E378E9"/>
    <w:multiLevelType w:val="multilevel"/>
    <w:tmpl w:val="B29E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2D73A1"/>
    <w:multiLevelType w:val="hybridMultilevel"/>
    <w:tmpl w:val="86BC3F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startOverride w:val="1"/>
    </w:lvlOverride>
  </w:num>
  <w:num w:numId="2">
    <w:abstractNumId w:val="2"/>
    <w:lvlOverride w:ilvl="0">
      <w:startOverride w:val="2"/>
    </w:lvlOverride>
  </w:num>
  <w:num w:numId="3">
    <w:abstractNumId w:val="14"/>
    <w:lvlOverride w:ilvl="0">
      <w:startOverride w:val="3"/>
    </w:lvlOverride>
  </w:num>
  <w:num w:numId="4">
    <w:abstractNumId w:val="12"/>
    <w:lvlOverride w:ilvl="0">
      <w:startOverride w:val="4"/>
    </w:lvlOverride>
  </w:num>
  <w:num w:numId="5">
    <w:abstractNumId w:val="4"/>
    <w:lvlOverride w:ilvl="0">
      <w:startOverride w:val="5"/>
    </w:lvlOverride>
  </w:num>
  <w:num w:numId="6">
    <w:abstractNumId w:val="11"/>
  </w:num>
  <w:num w:numId="7">
    <w:abstractNumId w:val="16"/>
    <w:lvlOverride w:ilvl="0">
      <w:startOverride w:val="6"/>
    </w:lvlOverride>
  </w:num>
  <w:num w:numId="8">
    <w:abstractNumId w:val="9"/>
    <w:lvlOverride w:ilvl="0">
      <w:startOverride w:val="7"/>
    </w:lvlOverride>
  </w:num>
  <w:num w:numId="9">
    <w:abstractNumId w:val="10"/>
    <w:lvlOverride w:ilvl="0">
      <w:startOverride w:val="8"/>
    </w:lvlOverride>
  </w:num>
  <w:num w:numId="10">
    <w:abstractNumId w:val="17"/>
    <w:lvlOverride w:ilvl="0">
      <w:startOverride w:val="9"/>
    </w:lvlOverride>
  </w:num>
  <w:num w:numId="11">
    <w:abstractNumId w:val="6"/>
    <w:lvlOverride w:ilvl="0">
      <w:lvl w:ilvl="0">
        <w:numFmt w:val="bullet"/>
        <w:lvlText w:val=""/>
        <w:lvlJc w:val="left"/>
        <w:pPr>
          <w:tabs>
            <w:tab w:val="num" w:pos="720"/>
          </w:tabs>
          <w:ind w:left="720" w:hanging="360"/>
        </w:pPr>
        <w:rPr>
          <w:rFonts w:ascii="Symbol" w:hAnsi="Symbol" w:hint="default"/>
          <w:sz w:val="20"/>
        </w:rPr>
      </w:lvl>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
  </w:num>
  <w:num w:numId="15">
    <w:abstractNumId w:val="7"/>
  </w:num>
  <w:num w:numId="16">
    <w:abstractNumId w:val="5"/>
  </w:num>
  <w:num w:numId="17">
    <w:abstractNumId w:val="13"/>
  </w:num>
  <w:num w:numId="18">
    <w:abstractNumId w:val="3"/>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C3"/>
    <w:rsid w:val="000035DC"/>
    <w:rsid w:val="00011140"/>
    <w:rsid w:val="00032C5E"/>
    <w:rsid w:val="000367C6"/>
    <w:rsid w:val="00042E26"/>
    <w:rsid w:val="000656DD"/>
    <w:rsid w:val="00072F8D"/>
    <w:rsid w:val="00086F1F"/>
    <w:rsid w:val="000923B4"/>
    <w:rsid w:val="00097FAA"/>
    <w:rsid w:val="000A2199"/>
    <w:rsid w:val="000B2748"/>
    <w:rsid w:val="000B4506"/>
    <w:rsid w:val="000B637C"/>
    <w:rsid w:val="000B69A8"/>
    <w:rsid w:val="000D2EAD"/>
    <w:rsid w:val="000E0A5A"/>
    <w:rsid w:val="000F2FAD"/>
    <w:rsid w:val="000F469C"/>
    <w:rsid w:val="001056F5"/>
    <w:rsid w:val="00123B61"/>
    <w:rsid w:val="001456C9"/>
    <w:rsid w:val="0018058E"/>
    <w:rsid w:val="00182518"/>
    <w:rsid w:val="00184F37"/>
    <w:rsid w:val="00185D39"/>
    <w:rsid w:val="00196902"/>
    <w:rsid w:val="0019759F"/>
    <w:rsid w:val="001B2F84"/>
    <w:rsid w:val="001B62CC"/>
    <w:rsid w:val="001C3044"/>
    <w:rsid w:val="001C4250"/>
    <w:rsid w:val="001D64AA"/>
    <w:rsid w:val="001F1F4E"/>
    <w:rsid w:val="00200FAB"/>
    <w:rsid w:val="002131F5"/>
    <w:rsid w:val="00232626"/>
    <w:rsid w:val="002542A8"/>
    <w:rsid w:val="0027015D"/>
    <w:rsid w:val="00284F1A"/>
    <w:rsid w:val="00285823"/>
    <w:rsid w:val="0028700C"/>
    <w:rsid w:val="00291249"/>
    <w:rsid w:val="0029438F"/>
    <w:rsid w:val="002A24C4"/>
    <w:rsid w:val="002A2E51"/>
    <w:rsid w:val="002B648B"/>
    <w:rsid w:val="002B754A"/>
    <w:rsid w:val="002D07FF"/>
    <w:rsid w:val="002E49DE"/>
    <w:rsid w:val="002F5991"/>
    <w:rsid w:val="00304B75"/>
    <w:rsid w:val="003110B3"/>
    <w:rsid w:val="00326BF7"/>
    <w:rsid w:val="00333318"/>
    <w:rsid w:val="00334E6C"/>
    <w:rsid w:val="003422F5"/>
    <w:rsid w:val="00353789"/>
    <w:rsid w:val="00365F73"/>
    <w:rsid w:val="00373481"/>
    <w:rsid w:val="00385E31"/>
    <w:rsid w:val="003A5083"/>
    <w:rsid w:val="003B5202"/>
    <w:rsid w:val="003B7871"/>
    <w:rsid w:val="003D375D"/>
    <w:rsid w:val="003F2CAA"/>
    <w:rsid w:val="003F358B"/>
    <w:rsid w:val="003F75E7"/>
    <w:rsid w:val="0040735F"/>
    <w:rsid w:val="00415F9A"/>
    <w:rsid w:val="00426803"/>
    <w:rsid w:val="00432F5B"/>
    <w:rsid w:val="00471379"/>
    <w:rsid w:val="00471EE3"/>
    <w:rsid w:val="00474EC3"/>
    <w:rsid w:val="00495B7C"/>
    <w:rsid w:val="004B0820"/>
    <w:rsid w:val="004B5785"/>
    <w:rsid w:val="004D0738"/>
    <w:rsid w:val="004E3F99"/>
    <w:rsid w:val="004F2614"/>
    <w:rsid w:val="0050576D"/>
    <w:rsid w:val="005202E8"/>
    <w:rsid w:val="00520DCD"/>
    <w:rsid w:val="005317CA"/>
    <w:rsid w:val="00537ADA"/>
    <w:rsid w:val="00540A83"/>
    <w:rsid w:val="005746A6"/>
    <w:rsid w:val="005828C7"/>
    <w:rsid w:val="00585225"/>
    <w:rsid w:val="00592C50"/>
    <w:rsid w:val="00594959"/>
    <w:rsid w:val="00595F07"/>
    <w:rsid w:val="00596495"/>
    <w:rsid w:val="00597468"/>
    <w:rsid w:val="005A2723"/>
    <w:rsid w:val="005B0EB9"/>
    <w:rsid w:val="005B191F"/>
    <w:rsid w:val="005E35CF"/>
    <w:rsid w:val="00602F1A"/>
    <w:rsid w:val="0061172E"/>
    <w:rsid w:val="00626FD9"/>
    <w:rsid w:val="00636778"/>
    <w:rsid w:val="00636B5C"/>
    <w:rsid w:val="00657432"/>
    <w:rsid w:val="00660803"/>
    <w:rsid w:val="00664389"/>
    <w:rsid w:val="00664D08"/>
    <w:rsid w:val="00671E5D"/>
    <w:rsid w:val="006850F3"/>
    <w:rsid w:val="00686635"/>
    <w:rsid w:val="00695DEA"/>
    <w:rsid w:val="00696CC6"/>
    <w:rsid w:val="006A4F64"/>
    <w:rsid w:val="006B05F3"/>
    <w:rsid w:val="006B642A"/>
    <w:rsid w:val="006C1CEC"/>
    <w:rsid w:val="006E7BF2"/>
    <w:rsid w:val="00702E2E"/>
    <w:rsid w:val="00710C8C"/>
    <w:rsid w:val="007110E0"/>
    <w:rsid w:val="0071323A"/>
    <w:rsid w:val="007132A4"/>
    <w:rsid w:val="00717D1F"/>
    <w:rsid w:val="00724036"/>
    <w:rsid w:val="00726B4C"/>
    <w:rsid w:val="00726D47"/>
    <w:rsid w:val="007327D4"/>
    <w:rsid w:val="007429C5"/>
    <w:rsid w:val="00744C3D"/>
    <w:rsid w:val="007519B5"/>
    <w:rsid w:val="00757272"/>
    <w:rsid w:val="00762303"/>
    <w:rsid w:val="00764EF4"/>
    <w:rsid w:val="00770B24"/>
    <w:rsid w:val="00773205"/>
    <w:rsid w:val="00783D1F"/>
    <w:rsid w:val="007868A4"/>
    <w:rsid w:val="00790BE5"/>
    <w:rsid w:val="00795FB0"/>
    <w:rsid w:val="007C3DB8"/>
    <w:rsid w:val="007C6033"/>
    <w:rsid w:val="007D2C82"/>
    <w:rsid w:val="007E6526"/>
    <w:rsid w:val="007F54CD"/>
    <w:rsid w:val="00802660"/>
    <w:rsid w:val="00804398"/>
    <w:rsid w:val="00810A66"/>
    <w:rsid w:val="008127A9"/>
    <w:rsid w:val="0081477E"/>
    <w:rsid w:val="00817977"/>
    <w:rsid w:val="00824772"/>
    <w:rsid w:val="00827E83"/>
    <w:rsid w:val="0085188C"/>
    <w:rsid w:val="0085440C"/>
    <w:rsid w:val="0086259F"/>
    <w:rsid w:val="008940F4"/>
    <w:rsid w:val="008A0489"/>
    <w:rsid w:val="008A66DE"/>
    <w:rsid w:val="008B5D8B"/>
    <w:rsid w:val="008C1192"/>
    <w:rsid w:val="008C77E0"/>
    <w:rsid w:val="008D5236"/>
    <w:rsid w:val="008E1CCE"/>
    <w:rsid w:val="008E2F1D"/>
    <w:rsid w:val="008E4828"/>
    <w:rsid w:val="008F5E13"/>
    <w:rsid w:val="00914746"/>
    <w:rsid w:val="00916C43"/>
    <w:rsid w:val="00922EB8"/>
    <w:rsid w:val="00927256"/>
    <w:rsid w:val="00927326"/>
    <w:rsid w:val="00934CF3"/>
    <w:rsid w:val="00942651"/>
    <w:rsid w:val="00944528"/>
    <w:rsid w:val="009509D7"/>
    <w:rsid w:val="00955817"/>
    <w:rsid w:val="00967F6D"/>
    <w:rsid w:val="00973FFA"/>
    <w:rsid w:val="009809E4"/>
    <w:rsid w:val="009A7895"/>
    <w:rsid w:val="009D1297"/>
    <w:rsid w:val="009E3E51"/>
    <w:rsid w:val="009E599E"/>
    <w:rsid w:val="009F08C0"/>
    <w:rsid w:val="00A014D8"/>
    <w:rsid w:val="00A068D7"/>
    <w:rsid w:val="00A14360"/>
    <w:rsid w:val="00A20681"/>
    <w:rsid w:val="00A479A4"/>
    <w:rsid w:val="00A53294"/>
    <w:rsid w:val="00A709BF"/>
    <w:rsid w:val="00A84DD3"/>
    <w:rsid w:val="00AC54F7"/>
    <w:rsid w:val="00AD1306"/>
    <w:rsid w:val="00AD7C1D"/>
    <w:rsid w:val="00B300A9"/>
    <w:rsid w:val="00B43587"/>
    <w:rsid w:val="00B478D8"/>
    <w:rsid w:val="00B50E7C"/>
    <w:rsid w:val="00B567AF"/>
    <w:rsid w:val="00B634F1"/>
    <w:rsid w:val="00B66CC4"/>
    <w:rsid w:val="00B947BC"/>
    <w:rsid w:val="00B95B26"/>
    <w:rsid w:val="00BB560F"/>
    <w:rsid w:val="00BC2308"/>
    <w:rsid w:val="00BC3993"/>
    <w:rsid w:val="00BD2DF0"/>
    <w:rsid w:val="00BD3C05"/>
    <w:rsid w:val="00BD5751"/>
    <w:rsid w:val="00BF0A3A"/>
    <w:rsid w:val="00BF70B0"/>
    <w:rsid w:val="00BF74E7"/>
    <w:rsid w:val="00C05C6A"/>
    <w:rsid w:val="00C12818"/>
    <w:rsid w:val="00C21D02"/>
    <w:rsid w:val="00C321D7"/>
    <w:rsid w:val="00C33C77"/>
    <w:rsid w:val="00C34C7A"/>
    <w:rsid w:val="00C37D17"/>
    <w:rsid w:val="00C77635"/>
    <w:rsid w:val="00C8031E"/>
    <w:rsid w:val="00C81AA6"/>
    <w:rsid w:val="00C829B2"/>
    <w:rsid w:val="00C85DFF"/>
    <w:rsid w:val="00CA63DA"/>
    <w:rsid w:val="00CD7B9F"/>
    <w:rsid w:val="00CE1378"/>
    <w:rsid w:val="00CE18DC"/>
    <w:rsid w:val="00D13143"/>
    <w:rsid w:val="00D178CA"/>
    <w:rsid w:val="00D307DE"/>
    <w:rsid w:val="00D349B8"/>
    <w:rsid w:val="00D62D10"/>
    <w:rsid w:val="00D64C63"/>
    <w:rsid w:val="00D66A5D"/>
    <w:rsid w:val="00D70AE0"/>
    <w:rsid w:val="00D80C7E"/>
    <w:rsid w:val="00D84778"/>
    <w:rsid w:val="00D847ED"/>
    <w:rsid w:val="00D84BC7"/>
    <w:rsid w:val="00D8653E"/>
    <w:rsid w:val="00D915E0"/>
    <w:rsid w:val="00D977DB"/>
    <w:rsid w:val="00DA287A"/>
    <w:rsid w:val="00DC0513"/>
    <w:rsid w:val="00DD0CF9"/>
    <w:rsid w:val="00DD4F9C"/>
    <w:rsid w:val="00DD679C"/>
    <w:rsid w:val="00DE7B91"/>
    <w:rsid w:val="00DF19E9"/>
    <w:rsid w:val="00E030F0"/>
    <w:rsid w:val="00E104BE"/>
    <w:rsid w:val="00E26D6C"/>
    <w:rsid w:val="00E31FB1"/>
    <w:rsid w:val="00E32F99"/>
    <w:rsid w:val="00E81F44"/>
    <w:rsid w:val="00EB230B"/>
    <w:rsid w:val="00EC2480"/>
    <w:rsid w:val="00EC6C76"/>
    <w:rsid w:val="00EC7DC4"/>
    <w:rsid w:val="00ED28FE"/>
    <w:rsid w:val="00EF7342"/>
    <w:rsid w:val="00F0494B"/>
    <w:rsid w:val="00F26909"/>
    <w:rsid w:val="00F36636"/>
    <w:rsid w:val="00F6427D"/>
    <w:rsid w:val="00F81611"/>
    <w:rsid w:val="00F87E00"/>
    <w:rsid w:val="00FA0A3F"/>
    <w:rsid w:val="00FA14C4"/>
    <w:rsid w:val="00FB01A2"/>
    <w:rsid w:val="00FC7300"/>
    <w:rsid w:val="00FF3D6D"/>
    <w:rsid w:val="00FF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51B2F"/>
  <w15:docId w15:val="{0FC3DE03-197C-483F-B889-FE0776E1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B24"/>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EC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27015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0B24"/>
    <w:pPr>
      <w:spacing w:line="240" w:lineRule="auto"/>
      <w:ind w:left="720"/>
    </w:pPr>
    <w:rPr>
      <w:rFonts w:ascii="Calibri" w:hAnsi="Calibri" w:cs="Times New Roman"/>
    </w:rPr>
  </w:style>
  <w:style w:type="paragraph" w:styleId="DocumentMap">
    <w:name w:val="Document Map"/>
    <w:basedOn w:val="Normal"/>
    <w:link w:val="DocumentMapChar"/>
    <w:uiPriority w:val="99"/>
    <w:semiHidden/>
    <w:unhideWhenUsed/>
    <w:rsid w:val="008940F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40F4"/>
    <w:rPr>
      <w:rFonts w:ascii="Tahoma" w:hAnsi="Tahoma" w:cs="Tahoma"/>
      <w:sz w:val="16"/>
      <w:szCs w:val="16"/>
    </w:rPr>
  </w:style>
  <w:style w:type="character" w:styleId="Hyperlink">
    <w:name w:val="Hyperlink"/>
    <w:basedOn w:val="DefaultParagraphFont"/>
    <w:uiPriority w:val="99"/>
    <w:unhideWhenUsed/>
    <w:rsid w:val="00415F9A"/>
    <w:rPr>
      <w:color w:val="0000FF" w:themeColor="hyperlink"/>
      <w:u w:val="single"/>
    </w:rPr>
  </w:style>
  <w:style w:type="paragraph" w:styleId="PlainText">
    <w:name w:val="Plain Text"/>
    <w:basedOn w:val="Normal"/>
    <w:link w:val="PlainTextChar"/>
    <w:uiPriority w:val="99"/>
    <w:unhideWhenUsed/>
    <w:rsid w:val="00415F9A"/>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415F9A"/>
    <w:rPr>
      <w:rFonts w:ascii="Consolas" w:hAnsi="Consolas"/>
      <w:sz w:val="21"/>
      <w:szCs w:val="21"/>
    </w:rPr>
  </w:style>
  <w:style w:type="paragraph" w:styleId="Header">
    <w:name w:val="header"/>
    <w:basedOn w:val="Normal"/>
    <w:link w:val="HeaderChar"/>
    <w:uiPriority w:val="99"/>
    <w:unhideWhenUsed/>
    <w:rsid w:val="00764EF4"/>
    <w:pPr>
      <w:tabs>
        <w:tab w:val="center" w:pos="4680"/>
        <w:tab w:val="right" w:pos="9360"/>
      </w:tabs>
      <w:spacing w:line="240" w:lineRule="auto"/>
    </w:pPr>
  </w:style>
  <w:style w:type="character" w:customStyle="1" w:styleId="HeaderChar">
    <w:name w:val="Header Char"/>
    <w:basedOn w:val="DefaultParagraphFont"/>
    <w:link w:val="Header"/>
    <w:uiPriority w:val="99"/>
    <w:rsid w:val="00764EF4"/>
  </w:style>
  <w:style w:type="paragraph" w:styleId="Footer">
    <w:name w:val="footer"/>
    <w:basedOn w:val="Normal"/>
    <w:link w:val="FooterChar"/>
    <w:uiPriority w:val="99"/>
    <w:unhideWhenUsed/>
    <w:rsid w:val="00764EF4"/>
    <w:pPr>
      <w:tabs>
        <w:tab w:val="center" w:pos="4680"/>
        <w:tab w:val="right" w:pos="9360"/>
      </w:tabs>
      <w:spacing w:line="240" w:lineRule="auto"/>
    </w:pPr>
  </w:style>
  <w:style w:type="character" w:customStyle="1" w:styleId="FooterChar">
    <w:name w:val="Footer Char"/>
    <w:basedOn w:val="DefaultParagraphFont"/>
    <w:link w:val="Footer"/>
    <w:uiPriority w:val="99"/>
    <w:rsid w:val="00764EF4"/>
  </w:style>
  <w:style w:type="character" w:styleId="UnresolvedMention">
    <w:name w:val="Unresolved Mention"/>
    <w:basedOn w:val="DefaultParagraphFont"/>
    <w:uiPriority w:val="99"/>
    <w:semiHidden/>
    <w:unhideWhenUsed/>
    <w:rsid w:val="000D2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988">
      <w:bodyDiv w:val="1"/>
      <w:marLeft w:val="0"/>
      <w:marRight w:val="0"/>
      <w:marTop w:val="0"/>
      <w:marBottom w:val="0"/>
      <w:divBdr>
        <w:top w:val="none" w:sz="0" w:space="0" w:color="auto"/>
        <w:left w:val="none" w:sz="0" w:space="0" w:color="auto"/>
        <w:bottom w:val="none" w:sz="0" w:space="0" w:color="auto"/>
        <w:right w:val="none" w:sz="0" w:space="0" w:color="auto"/>
      </w:divBdr>
    </w:div>
    <w:div w:id="16917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is.leg.state.or.us/liz/2019R1/Measures/Overview/HB2001" TargetMode="External"/><Relationship Id="rId13" Type="http://schemas.openxmlformats.org/officeDocument/2006/relationships/hyperlink" Target="https://olis.leg.state.or.us/liz/2019R1/Measures/Overview/HB2109" TargetMode="External"/><Relationship Id="rId18" Type="http://schemas.openxmlformats.org/officeDocument/2006/relationships/hyperlink" Target="https://olis.leg.state.or.us/liz/2019R1/Measures/Overview/HB291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olis.leg.state.or.us/liz/2019R1/Measures/Overview/SB534" TargetMode="External"/><Relationship Id="rId7" Type="http://schemas.openxmlformats.org/officeDocument/2006/relationships/hyperlink" Target="https://olis.leg.state.or.us/liz/2019R1" TargetMode="External"/><Relationship Id="rId12" Type="http://schemas.openxmlformats.org/officeDocument/2006/relationships/hyperlink" Target="https://olis.leg.state.or.us/liz/2019R1/Measures/Overview/HB2075" TargetMode="External"/><Relationship Id="rId17" Type="http://schemas.openxmlformats.org/officeDocument/2006/relationships/hyperlink" Target="https://olis.leg.state.or.us/liz/2019R1/Measures/Overview/HB257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olis.leg.state.or.us/liz/2019R1/Measures/Overview/HB2560" TargetMode="External"/><Relationship Id="rId20" Type="http://schemas.openxmlformats.org/officeDocument/2006/relationships/hyperlink" Target="https://olis.leg.state.or.us/liz/2019R1/Measures/Overview/SB9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is.leg.state.or.us/liz/2019R1/Measures/Overview/HB205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lis.leg.state.or.us/liz/2019R1/Measures/Overview/HB2306" TargetMode="External"/><Relationship Id="rId23" Type="http://schemas.openxmlformats.org/officeDocument/2006/relationships/hyperlink" Target="https://olis.leg.state.or.us/liz/2019R1/Measures/Overview/SB927" TargetMode="External"/><Relationship Id="rId28" Type="http://schemas.openxmlformats.org/officeDocument/2006/relationships/header" Target="header3.xml"/><Relationship Id="rId10" Type="http://schemas.openxmlformats.org/officeDocument/2006/relationships/hyperlink" Target="https://olis.leg.state.or.us/liz/2019R1/Measures/Overview/HB2055" TargetMode="External"/><Relationship Id="rId19" Type="http://schemas.openxmlformats.org/officeDocument/2006/relationships/hyperlink" Target="https://olis.leg.state.or.us/liz/2019R1/Measures/Overview/SB1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lis.leg.state.or.us/liz/2019R1/Measures/Overview/HB2003" TargetMode="External"/><Relationship Id="rId14" Type="http://schemas.openxmlformats.org/officeDocument/2006/relationships/hyperlink" Target="https://olis.leg.state.or.us/liz/2019R1/Measures/Overview/HB2228" TargetMode="External"/><Relationship Id="rId22" Type="http://schemas.openxmlformats.org/officeDocument/2006/relationships/hyperlink" Target="https://olis.leg.state.or.us/liz/2019R1/Measures/Overview/SB608"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Albany</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Richardson</dc:creator>
  <cp:lastModifiedBy>Erin Doyle</cp:lastModifiedBy>
  <cp:revision>63</cp:revision>
  <dcterms:created xsi:type="dcterms:W3CDTF">2019-04-11T17:16:00Z</dcterms:created>
  <dcterms:modified xsi:type="dcterms:W3CDTF">2019-04-11T18:20:00Z</dcterms:modified>
</cp:coreProperties>
</file>